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F4" w:rsidRDefault="001643F4" w:rsidP="00797772">
      <w:pPr>
        <w:spacing w:line="360" w:lineRule="auto"/>
        <w:rPr>
          <w:rFonts w:ascii="仿宋" w:eastAsia="仿宋" w:hAnsi="仿宋" w:cs="宋体"/>
          <w:b/>
          <w:sz w:val="36"/>
          <w:szCs w:val="36"/>
        </w:rPr>
      </w:pPr>
      <w:r>
        <w:rPr>
          <w:rFonts w:ascii="仿宋" w:eastAsia="仿宋" w:hAnsi="仿宋" w:cs="宋体" w:hint="eastAsia"/>
          <w:b/>
          <w:sz w:val="36"/>
          <w:szCs w:val="36"/>
        </w:rPr>
        <w:t>监理单位</w:t>
      </w:r>
    </w:p>
    <w:p w:rsidR="00797772" w:rsidRPr="007C779D" w:rsidRDefault="001643F4" w:rsidP="00797772">
      <w:pPr>
        <w:spacing w:line="360" w:lineRule="auto"/>
        <w:rPr>
          <w:rFonts w:ascii="仿宋" w:eastAsia="仿宋" w:hAnsi="仿宋" w:cs="宋体"/>
          <w:b/>
          <w:sz w:val="36"/>
          <w:szCs w:val="36"/>
        </w:rPr>
      </w:pPr>
      <w:r>
        <w:rPr>
          <w:rFonts w:ascii="仿宋" w:eastAsia="仿宋" w:hAnsi="仿宋" w:cs="宋体" w:hint="eastAsia"/>
          <w:b/>
          <w:sz w:val="36"/>
          <w:szCs w:val="36"/>
        </w:rPr>
        <w:t>资格审核：</w:t>
      </w:r>
      <w:r w:rsidRPr="007C779D">
        <w:rPr>
          <w:rFonts w:ascii="仿宋" w:eastAsia="仿宋" w:hAnsi="仿宋" w:cs="宋体" w:hint="eastAsia"/>
          <w:bCs/>
          <w:sz w:val="28"/>
          <w:szCs w:val="28"/>
        </w:rPr>
        <w:t>在“厦门市建设工程监理企业资质备案及信用系统”备案的</w:t>
      </w:r>
      <w:r w:rsidRPr="007C779D">
        <w:rPr>
          <w:rFonts w:ascii="仿宋" w:eastAsia="仿宋" w:hAnsi="仿宋" w:cs="宋体" w:hint="eastAsia"/>
          <w:sz w:val="28"/>
          <w:szCs w:val="28"/>
        </w:rPr>
        <w:t>住房城乡建设部</w:t>
      </w:r>
      <w:r w:rsidRPr="007C779D">
        <w:rPr>
          <w:rFonts w:ascii="仿宋" w:eastAsia="仿宋" w:hAnsi="仿宋" w:cs="宋体" w:hint="eastAsia"/>
          <w:kern w:val="0"/>
          <w:sz w:val="28"/>
          <w:szCs w:val="28"/>
        </w:rPr>
        <w:t>颁发的市政公用工程乙级及以上监理资质或监理综合资质，本次年度入围资格报名不接受联合体。</w:t>
      </w:r>
    </w:p>
    <w:p w:rsidR="00797772" w:rsidRDefault="001643F4" w:rsidP="001643F4">
      <w:pPr>
        <w:spacing w:line="360" w:lineRule="auto"/>
        <w:rPr>
          <w:rFonts w:ascii="仿宋" w:eastAsia="仿宋" w:hAnsi="仿宋"/>
          <w:sz w:val="28"/>
          <w:szCs w:val="28"/>
        </w:rPr>
      </w:pPr>
      <w:r w:rsidRPr="001643F4">
        <w:rPr>
          <w:rFonts w:ascii="仿宋" w:eastAsia="仿宋" w:hAnsi="仿宋" w:cs="宋体" w:hint="eastAsia"/>
          <w:b/>
          <w:sz w:val="36"/>
          <w:szCs w:val="36"/>
        </w:rPr>
        <w:t>评分标准：</w:t>
      </w:r>
      <w:r w:rsidR="00797772" w:rsidRPr="00E52912">
        <w:rPr>
          <w:rFonts w:ascii="仿宋" w:eastAsia="仿宋" w:hAnsi="仿宋" w:cs="宋体" w:hint="eastAsia"/>
          <w:sz w:val="28"/>
          <w:szCs w:val="28"/>
        </w:rPr>
        <w:t>将商务得分、技术得分相加得出综合得分就是对该投标文件的评标结果。评标委员会按综合得分高低次序排名，并推荐排名在前</w:t>
      </w:r>
      <w:r w:rsidR="00797772">
        <w:rPr>
          <w:rFonts w:ascii="仿宋" w:eastAsia="仿宋" w:hAnsi="仿宋" w:cs="宋体" w:hint="eastAsia"/>
          <w:sz w:val="28"/>
          <w:szCs w:val="28"/>
        </w:rPr>
        <w:t>3</w:t>
      </w:r>
      <w:r w:rsidR="00797772" w:rsidRPr="00E52912">
        <w:rPr>
          <w:rFonts w:ascii="仿宋" w:eastAsia="仿宋" w:hAnsi="仿宋" w:cs="宋体" w:hint="eastAsia"/>
          <w:sz w:val="28"/>
          <w:szCs w:val="28"/>
        </w:rPr>
        <w:t>名的投标人为中标候选人。招标人按照评标委员会推荐的中标候选人排序依法确定入围单位。</w:t>
      </w:r>
      <w:r w:rsidR="00797772">
        <w:rPr>
          <w:rFonts w:ascii="仿宋" w:eastAsia="仿宋" w:hAnsi="仿宋" w:hint="eastAsia"/>
          <w:sz w:val="28"/>
          <w:szCs w:val="28"/>
        </w:rPr>
        <w:t>本项目投标人不得少于</w:t>
      </w:r>
      <w:r>
        <w:rPr>
          <w:rFonts w:ascii="仿宋" w:eastAsia="仿宋" w:hAnsi="仿宋" w:hint="eastAsia"/>
          <w:sz w:val="28"/>
          <w:szCs w:val="28"/>
        </w:rPr>
        <w:t>3</w:t>
      </w:r>
      <w:r w:rsidR="00797772">
        <w:rPr>
          <w:rFonts w:ascii="仿宋" w:eastAsia="仿宋" w:hAnsi="仿宋" w:hint="eastAsia"/>
          <w:sz w:val="28"/>
          <w:szCs w:val="28"/>
        </w:rPr>
        <w:t>人，</w:t>
      </w:r>
      <w:r w:rsidR="007C779D">
        <w:rPr>
          <w:rFonts w:ascii="仿宋" w:eastAsia="仿宋" w:hAnsi="仿宋" w:hint="eastAsia"/>
          <w:sz w:val="28"/>
          <w:szCs w:val="28"/>
        </w:rPr>
        <w:t>若少于3人则废标，另择期再公示组织评分。</w:t>
      </w:r>
      <w:r w:rsidR="00797772">
        <w:rPr>
          <w:rFonts w:ascii="仿宋" w:eastAsia="仿宋" w:hAnsi="仿宋" w:hint="eastAsia"/>
          <w:sz w:val="28"/>
          <w:szCs w:val="28"/>
        </w:rPr>
        <w:t>若出现入围投标人分数相同则采用随机抽取的方式确定前3名入围投标人。</w:t>
      </w:r>
    </w:p>
    <w:p w:rsidR="00603125" w:rsidRPr="00603125" w:rsidRDefault="00603125" w:rsidP="001643F4">
      <w:pPr>
        <w:spacing w:line="360" w:lineRule="auto"/>
        <w:rPr>
          <w:rFonts w:ascii="仿宋" w:eastAsia="仿宋" w:hAnsi="仿宋" w:cs="宋体"/>
          <w:b/>
          <w:sz w:val="36"/>
          <w:szCs w:val="36"/>
        </w:rPr>
      </w:pPr>
      <w:r>
        <w:rPr>
          <w:rFonts w:ascii="仿宋_GB2312" w:eastAsia="仿宋_GB2312" w:hAnsi="仿宋" w:cs="华文仿宋" w:hint="eastAsia"/>
          <w:sz w:val="28"/>
          <w:szCs w:val="28"/>
        </w:rPr>
        <w:t>（备注：由现场评标人员各自评分，取现场评标人员平均分作为综合得分）</w:t>
      </w:r>
    </w:p>
    <w:p w:rsidR="00797772" w:rsidRDefault="00797772" w:rsidP="00797772">
      <w:pPr>
        <w:spacing w:line="360" w:lineRule="auto"/>
        <w:ind w:firstLineChars="200" w:firstLine="560"/>
        <w:rPr>
          <w:rFonts w:ascii="仿宋" w:eastAsia="仿宋" w:hAnsi="仿宋" w:cs="宋体"/>
          <w:sz w:val="28"/>
          <w:szCs w:val="28"/>
        </w:rPr>
      </w:pPr>
      <w:r w:rsidRPr="00E52912">
        <w:rPr>
          <w:rFonts w:ascii="仿宋" w:eastAsia="仿宋" w:hAnsi="仿宋" w:cs="宋体" w:hint="eastAsia"/>
          <w:sz w:val="28"/>
          <w:szCs w:val="28"/>
        </w:rPr>
        <w:t>（1）商务因素，总分10分：</w:t>
      </w:r>
      <w:r>
        <w:rPr>
          <w:rFonts w:ascii="仿宋" w:eastAsia="仿宋" w:hAnsi="仿宋" w:cs="宋体" w:hint="eastAsia"/>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922"/>
        <w:gridCol w:w="1418"/>
        <w:gridCol w:w="1417"/>
      </w:tblGrid>
      <w:tr w:rsidR="00797772" w:rsidRPr="00E52912" w:rsidTr="00797772">
        <w:trPr>
          <w:trHeight w:val="416"/>
        </w:trPr>
        <w:tc>
          <w:tcPr>
            <w:tcW w:w="851" w:type="dxa"/>
            <w:vAlign w:val="center"/>
          </w:tcPr>
          <w:p w:rsidR="00797772" w:rsidRPr="00E52912" w:rsidRDefault="00797772" w:rsidP="00AB7D74">
            <w:pPr>
              <w:spacing w:line="500" w:lineRule="exact"/>
              <w:jc w:val="center"/>
              <w:rPr>
                <w:rFonts w:ascii="仿宋" w:eastAsia="仿宋" w:hAnsi="仿宋" w:cs="宋体"/>
                <w:sz w:val="28"/>
                <w:szCs w:val="28"/>
              </w:rPr>
            </w:pPr>
            <w:r w:rsidRPr="00E52912">
              <w:rPr>
                <w:rFonts w:ascii="仿宋" w:eastAsia="仿宋" w:hAnsi="仿宋" w:cs="宋体" w:hint="eastAsia"/>
                <w:sz w:val="28"/>
                <w:szCs w:val="28"/>
              </w:rPr>
              <w:t>序号</w:t>
            </w:r>
          </w:p>
        </w:tc>
        <w:tc>
          <w:tcPr>
            <w:tcW w:w="9922" w:type="dxa"/>
            <w:vAlign w:val="center"/>
          </w:tcPr>
          <w:p w:rsidR="00797772" w:rsidRPr="00E52912" w:rsidRDefault="00797772" w:rsidP="00AB7D74">
            <w:pPr>
              <w:spacing w:line="500" w:lineRule="exact"/>
              <w:jc w:val="center"/>
              <w:rPr>
                <w:rFonts w:ascii="仿宋" w:eastAsia="仿宋" w:hAnsi="仿宋" w:cs="宋体"/>
                <w:sz w:val="28"/>
                <w:szCs w:val="28"/>
              </w:rPr>
            </w:pPr>
            <w:r w:rsidRPr="00E52912">
              <w:rPr>
                <w:rFonts w:ascii="仿宋" w:eastAsia="仿宋" w:hAnsi="仿宋" w:cs="宋体" w:hint="eastAsia"/>
                <w:sz w:val="28"/>
                <w:szCs w:val="28"/>
              </w:rPr>
              <w:t>评审项目</w:t>
            </w:r>
          </w:p>
        </w:tc>
        <w:tc>
          <w:tcPr>
            <w:tcW w:w="1418" w:type="dxa"/>
          </w:tcPr>
          <w:p w:rsidR="00797772" w:rsidRPr="00797772" w:rsidRDefault="00797772" w:rsidP="00AB7D74">
            <w:pPr>
              <w:spacing w:line="500" w:lineRule="exact"/>
              <w:jc w:val="center"/>
              <w:rPr>
                <w:rFonts w:ascii="仿宋" w:eastAsia="仿宋" w:hAnsi="仿宋" w:cs="宋体"/>
                <w:sz w:val="28"/>
                <w:szCs w:val="28"/>
              </w:rPr>
            </w:pPr>
            <w:r>
              <w:rPr>
                <w:rFonts w:ascii="仿宋" w:eastAsia="仿宋" w:hAnsi="仿宋" w:cs="宋体" w:hint="eastAsia"/>
                <w:sz w:val="28"/>
                <w:szCs w:val="28"/>
              </w:rPr>
              <w:t>满分</w:t>
            </w:r>
          </w:p>
        </w:tc>
        <w:tc>
          <w:tcPr>
            <w:tcW w:w="1417" w:type="dxa"/>
          </w:tcPr>
          <w:p w:rsidR="00797772" w:rsidRPr="00797772" w:rsidRDefault="00797772" w:rsidP="00AB7D74">
            <w:pPr>
              <w:spacing w:line="500" w:lineRule="exact"/>
              <w:jc w:val="center"/>
              <w:rPr>
                <w:rFonts w:ascii="仿宋" w:eastAsia="仿宋" w:hAnsi="仿宋" w:cs="宋体"/>
                <w:sz w:val="28"/>
                <w:szCs w:val="28"/>
              </w:rPr>
            </w:pPr>
            <w:r>
              <w:rPr>
                <w:rFonts w:ascii="仿宋" w:eastAsia="仿宋" w:hAnsi="仿宋" w:cs="宋体" w:hint="eastAsia"/>
                <w:sz w:val="28"/>
                <w:szCs w:val="28"/>
              </w:rPr>
              <w:t>评分</w:t>
            </w:r>
          </w:p>
        </w:tc>
      </w:tr>
      <w:tr w:rsidR="00797772" w:rsidRPr="00E52912" w:rsidTr="00797772">
        <w:trPr>
          <w:trHeight w:val="416"/>
        </w:trPr>
        <w:tc>
          <w:tcPr>
            <w:tcW w:w="851" w:type="dxa"/>
            <w:vAlign w:val="center"/>
          </w:tcPr>
          <w:p w:rsidR="00797772" w:rsidRPr="00E52912" w:rsidRDefault="00797772" w:rsidP="00AB7D74">
            <w:pPr>
              <w:spacing w:line="500" w:lineRule="exact"/>
              <w:jc w:val="center"/>
              <w:rPr>
                <w:rFonts w:ascii="仿宋" w:eastAsia="仿宋" w:hAnsi="仿宋" w:cs="宋体"/>
                <w:sz w:val="28"/>
                <w:szCs w:val="28"/>
              </w:rPr>
            </w:pPr>
          </w:p>
        </w:tc>
        <w:tc>
          <w:tcPr>
            <w:tcW w:w="9922" w:type="dxa"/>
            <w:vAlign w:val="center"/>
          </w:tcPr>
          <w:p w:rsidR="00797772" w:rsidRPr="00E52912" w:rsidRDefault="00797772" w:rsidP="00797772">
            <w:pPr>
              <w:spacing w:line="500" w:lineRule="exact"/>
              <w:jc w:val="left"/>
              <w:rPr>
                <w:rFonts w:ascii="仿宋" w:eastAsia="仿宋" w:hAnsi="仿宋" w:cs="宋体"/>
                <w:sz w:val="28"/>
                <w:szCs w:val="28"/>
              </w:rPr>
            </w:pPr>
            <w:r w:rsidRPr="00E52912">
              <w:rPr>
                <w:rFonts w:ascii="仿宋" w:eastAsia="仿宋" w:hAnsi="仿宋" w:cs="宋体" w:hint="eastAsia"/>
                <w:spacing w:val="-7"/>
                <w:sz w:val="28"/>
                <w:szCs w:val="28"/>
              </w:rPr>
              <w:t>投标单位承诺 “我单位取得入围资格后，所承接项目</w:t>
            </w:r>
            <w:r w:rsidRPr="00E52912">
              <w:rPr>
                <w:rFonts w:ascii="仿宋" w:eastAsia="仿宋" w:hAnsi="仿宋" w:cs="宋体" w:hint="eastAsia"/>
                <w:sz w:val="28"/>
                <w:szCs w:val="28"/>
              </w:rPr>
              <w:t>监理服务费按国家发展改革委、建设部印发的《建设工程监理与相关服务收费管理规定》（发改价格[2007]670号）进行计价，最终以财政审核中心审定结果为准，且服务费用经财政审核中心审核后15天内，与招标人按审核价一次性结清。”</w:t>
            </w:r>
          </w:p>
        </w:tc>
        <w:tc>
          <w:tcPr>
            <w:tcW w:w="1418" w:type="dxa"/>
          </w:tcPr>
          <w:p w:rsidR="00797772" w:rsidRPr="00797772" w:rsidRDefault="00797772" w:rsidP="00AB7D74">
            <w:pPr>
              <w:spacing w:line="500" w:lineRule="exact"/>
              <w:jc w:val="center"/>
              <w:rPr>
                <w:rFonts w:ascii="仿宋" w:eastAsia="仿宋" w:hAnsi="仿宋" w:cs="宋体"/>
                <w:sz w:val="28"/>
                <w:szCs w:val="28"/>
              </w:rPr>
            </w:pPr>
            <w:r>
              <w:rPr>
                <w:rFonts w:ascii="仿宋" w:eastAsia="仿宋" w:hAnsi="仿宋" w:cs="宋体" w:hint="eastAsia"/>
                <w:sz w:val="28"/>
                <w:szCs w:val="28"/>
              </w:rPr>
              <w:t>有</w:t>
            </w:r>
            <w:r w:rsidRPr="00E52912">
              <w:rPr>
                <w:rFonts w:ascii="仿宋" w:eastAsia="仿宋" w:hAnsi="仿宋" w:cs="宋体" w:hint="eastAsia"/>
                <w:sz w:val="28"/>
                <w:szCs w:val="28"/>
              </w:rPr>
              <w:t>则得10分；否则得0分</w:t>
            </w:r>
          </w:p>
        </w:tc>
        <w:tc>
          <w:tcPr>
            <w:tcW w:w="1417" w:type="dxa"/>
          </w:tcPr>
          <w:p w:rsidR="00797772" w:rsidRPr="00797772" w:rsidRDefault="00797772" w:rsidP="00AB7D74">
            <w:pPr>
              <w:spacing w:line="500" w:lineRule="exact"/>
              <w:jc w:val="center"/>
              <w:rPr>
                <w:rFonts w:ascii="仿宋" w:eastAsia="仿宋" w:hAnsi="仿宋" w:cs="宋体"/>
                <w:sz w:val="28"/>
                <w:szCs w:val="28"/>
              </w:rPr>
            </w:pPr>
          </w:p>
        </w:tc>
      </w:tr>
    </w:tbl>
    <w:p w:rsidR="001643F4" w:rsidRPr="00E52912" w:rsidRDefault="001643F4" w:rsidP="00797772">
      <w:pPr>
        <w:spacing w:line="360" w:lineRule="auto"/>
        <w:ind w:firstLineChars="250" w:firstLine="700"/>
        <w:rPr>
          <w:rFonts w:ascii="仿宋" w:eastAsia="仿宋" w:hAnsi="仿宋" w:cs="宋体"/>
          <w:sz w:val="28"/>
          <w:szCs w:val="28"/>
        </w:rPr>
      </w:pPr>
    </w:p>
    <w:p w:rsidR="00797772" w:rsidRPr="00E52912" w:rsidRDefault="00797772" w:rsidP="00797772">
      <w:pPr>
        <w:numPr>
          <w:ilvl w:val="0"/>
          <w:numId w:val="1"/>
        </w:numPr>
        <w:spacing w:line="360" w:lineRule="auto"/>
        <w:ind w:firstLineChars="200" w:firstLine="560"/>
        <w:rPr>
          <w:rFonts w:ascii="仿宋" w:eastAsia="仿宋" w:hAnsi="仿宋" w:cs="宋体"/>
          <w:sz w:val="28"/>
          <w:szCs w:val="28"/>
        </w:rPr>
      </w:pPr>
      <w:r w:rsidRPr="00E52912">
        <w:rPr>
          <w:rFonts w:ascii="仿宋" w:eastAsia="仿宋" w:hAnsi="仿宋" w:cs="宋体" w:hint="eastAsia"/>
          <w:sz w:val="28"/>
          <w:szCs w:val="28"/>
        </w:rPr>
        <w:t xml:space="preserve">技术因素，总分90分： </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922"/>
        <w:gridCol w:w="1985"/>
        <w:gridCol w:w="850"/>
      </w:tblGrid>
      <w:tr w:rsidR="00797772" w:rsidRPr="00E52912" w:rsidTr="00797772">
        <w:trPr>
          <w:trHeight w:val="416"/>
        </w:trPr>
        <w:tc>
          <w:tcPr>
            <w:tcW w:w="851" w:type="dxa"/>
            <w:vAlign w:val="center"/>
          </w:tcPr>
          <w:p w:rsidR="00797772" w:rsidRPr="00E52912" w:rsidRDefault="00797772" w:rsidP="00AB7D74">
            <w:pPr>
              <w:spacing w:line="500" w:lineRule="exact"/>
              <w:jc w:val="center"/>
              <w:rPr>
                <w:rFonts w:ascii="仿宋" w:eastAsia="仿宋" w:hAnsi="仿宋" w:cs="宋体"/>
                <w:sz w:val="28"/>
                <w:szCs w:val="28"/>
              </w:rPr>
            </w:pPr>
            <w:r w:rsidRPr="00E52912">
              <w:rPr>
                <w:rFonts w:ascii="仿宋" w:eastAsia="仿宋" w:hAnsi="仿宋" w:cs="宋体" w:hint="eastAsia"/>
                <w:sz w:val="28"/>
                <w:szCs w:val="28"/>
              </w:rPr>
              <w:t>序号</w:t>
            </w:r>
          </w:p>
        </w:tc>
        <w:tc>
          <w:tcPr>
            <w:tcW w:w="9922" w:type="dxa"/>
            <w:vAlign w:val="center"/>
          </w:tcPr>
          <w:p w:rsidR="00797772" w:rsidRPr="00E52912" w:rsidRDefault="00797772" w:rsidP="00AB7D74">
            <w:pPr>
              <w:spacing w:line="500" w:lineRule="exact"/>
              <w:jc w:val="center"/>
              <w:rPr>
                <w:rFonts w:ascii="仿宋" w:eastAsia="仿宋" w:hAnsi="仿宋" w:cs="宋体"/>
                <w:sz w:val="28"/>
                <w:szCs w:val="28"/>
              </w:rPr>
            </w:pPr>
            <w:r w:rsidRPr="00E52912">
              <w:rPr>
                <w:rFonts w:ascii="仿宋" w:eastAsia="仿宋" w:hAnsi="仿宋" w:cs="宋体" w:hint="eastAsia"/>
                <w:sz w:val="28"/>
                <w:szCs w:val="28"/>
              </w:rPr>
              <w:t>评审项目</w:t>
            </w:r>
          </w:p>
        </w:tc>
        <w:tc>
          <w:tcPr>
            <w:tcW w:w="1985" w:type="dxa"/>
            <w:vAlign w:val="center"/>
          </w:tcPr>
          <w:p w:rsidR="00797772" w:rsidRPr="00E52912" w:rsidRDefault="00797772" w:rsidP="00AB7D74">
            <w:pPr>
              <w:spacing w:line="500" w:lineRule="exact"/>
              <w:jc w:val="center"/>
              <w:rPr>
                <w:rFonts w:ascii="仿宋" w:eastAsia="仿宋" w:hAnsi="仿宋" w:cs="宋体"/>
                <w:sz w:val="28"/>
                <w:szCs w:val="28"/>
              </w:rPr>
            </w:pPr>
            <w:r>
              <w:rPr>
                <w:rFonts w:ascii="仿宋" w:eastAsia="仿宋" w:hAnsi="仿宋" w:cs="宋体" w:hint="eastAsia"/>
                <w:sz w:val="28"/>
                <w:szCs w:val="28"/>
              </w:rPr>
              <w:t>满分</w:t>
            </w:r>
          </w:p>
        </w:tc>
        <w:tc>
          <w:tcPr>
            <w:tcW w:w="850" w:type="dxa"/>
          </w:tcPr>
          <w:p w:rsidR="00797772" w:rsidRPr="00E52912" w:rsidRDefault="00797772" w:rsidP="00AB7D74">
            <w:pPr>
              <w:spacing w:line="500" w:lineRule="exact"/>
              <w:jc w:val="center"/>
              <w:rPr>
                <w:rFonts w:ascii="仿宋" w:eastAsia="仿宋" w:hAnsi="仿宋" w:cs="宋体"/>
                <w:sz w:val="28"/>
                <w:szCs w:val="28"/>
              </w:rPr>
            </w:pPr>
            <w:r>
              <w:rPr>
                <w:rFonts w:ascii="仿宋" w:eastAsia="仿宋" w:hAnsi="仿宋" w:cs="宋体" w:hint="eastAsia"/>
                <w:sz w:val="28"/>
                <w:szCs w:val="28"/>
              </w:rPr>
              <w:t>评分</w:t>
            </w:r>
          </w:p>
        </w:tc>
      </w:tr>
      <w:tr w:rsidR="00797772" w:rsidRPr="00E52912" w:rsidTr="00797772">
        <w:trPr>
          <w:trHeight w:val="799"/>
        </w:trPr>
        <w:tc>
          <w:tcPr>
            <w:tcW w:w="851"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1</w:t>
            </w:r>
          </w:p>
        </w:tc>
        <w:tc>
          <w:tcPr>
            <w:tcW w:w="9922" w:type="dxa"/>
            <w:vAlign w:val="center"/>
          </w:tcPr>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取得住房城乡建设部监理资质基本分：市政公用工程甲级资质或综合资质得15分，市政公用工程乙级资质得10分</w:t>
            </w:r>
          </w:p>
        </w:tc>
        <w:tc>
          <w:tcPr>
            <w:tcW w:w="1985"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企业资质指标15分</w:t>
            </w:r>
          </w:p>
        </w:tc>
        <w:tc>
          <w:tcPr>
            <w:tcW w:w="850" w:type="dxa"/>
          </w:tcPr>
          <w:p w:rsidR="00797772" w:rsidRPr="00E52912" w:rsidRDefault="00797772" w:rsidP="00AB7D74">
            <w:pPr>
              <w:spacing w:line="276" w:lineRule="auto"/>
              <w:jc w:val="center"/>
              <w:rPr>
                <w:rFonts w:ascii="仿宋" w:eastAsia="仿宋" w:hAnsi="仿宋" w:cs="宋体"/>
                <w:sz w:val="24"/>
                <w:szCs w:val="28"/>
              </w:rPr>
            </w:pPr>
          </w:p>
        </w:tc>
      </w:tr>
      <w:tr w:rsidR="00797772" w:rsidRPr="00E52912" w:rsidTr="00797772">
        <w:trPr>
          <w:trHeight w:val="799"/>
        </w:trPr>
        <w:tc>
          <w:tcPr>
            <w:tcW w:w="851"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2</w:t>
            </w:r>
          </w:p>
        </w:tc>
        <w:tc>
          <w:tcPr>
            <w:tcW w:w="9922" w:type="dxa"/>
            <w:vAlign w:val="center"/>
          </w:tcPr>
          <w:p w:rsidR="00797772" w:rsidRPr="00E52912" w:rsidRDefault="00797772" w:rsidP="00797772">
            <w:pPr>
              <w:numPr>
                <w:ilvl w:val="0"/>
                <w:numId w:val="2"/>
              </w:numPr>
              <w:spacing w:line="276" w:lineRule="auto"/>
              <w:jc w:val="left"/>
              <w:rPr>
                <w:rFonts w:ascii="仿宋" w:eastAsia="仿宋" w:hAnsi="仿宋" w:cs="宋体"/>
                <w:sz w:val="24"/>
                <w:szCs w:val="28"/>
              </w:rPr>
            </w:pPr>
            <w:r w:rsidRPr="00E52912">
              <w:rPr>
                <w:rFonts w:ascii="仿宋" w:eastAsia="仿宋" w:hAnsi="仿宋" w:cs="宋体" w:hint="eastAsia"/>
                <w:sz w:val="24"/>
                <w:szCs w:val="28"/>
              </w:rPr>
              <w:t>市政公用工程监理项目业绩，最多得</w:t>
            </w:r>
            <w:r>
              <w:rPr>
                <w:rFonts w:ascii="仿宋" w:eastAsia="仿宋" w:hAnsi="仿宋" w:cs="宋体" w:hint="eastAsia"/>
                <w:sz w:val="24"/>
                <w:szCs w:val="28"/>
              </w:rPr>
              <w:t>18</w:t>
            </w:r>
            <w:r w:rsidRPr="00E52912">
              <w:rPr>
                <w:rFonts w:ascii="仿宋" w:eastAsia="仿宋" w:hAnsi="仿宋" w:cs="宋体" w:hint="eastAsia"/>
                <w:sz w:val="24"/>
                <w:szCs w:val="28"/>
              </w:rPr>
              <w:t>分：</w:t>
            </w:r>
          </w:p>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上述相关业绩需为</w:t>
            </w:r>
            <w:r w:rsidRPr="00E52912">
              <w:rPr>
                <w:rFonts w:ascii="仿宋" w:eastAsia="仿宋" w:hAnsi="仿宋" w:cs="宋体" w:hint="eastAsia"/>
                <w:bCs/>
                <w:sz w:val="24"/>
                <w:szCs w:val="28"/>
              </w:rPr>
              <w:t>投标人近</w:t>
            </w:r>
            <w:r>
              <w:rPr>
                <w:rFonts w:ascii="仿宋" w:eastAsia="仿宋" w:hAnsi="仿宋" w:cs="宋体" w:hint="eastAsia"/>
                <w:bCs/>
                <w:sz w:val="24"/>
                <w:szCs w:val="28"/>
              </w:rPr>
              <w:t>五</w:t>
            </w:r>
            <w:r w:rsidRPr="00E52912">
              <w:rPr>
                <w:rFonts w:ascii="仿宋" w:eastAsia="仿宋" w:hAnsi="仿宋" w:cs="宋体" w:hint="eastAsia"/>
                <w:bCs/>
                <w:sz w:val="24"/>
                <w:szCs w:val="28"/>
              </w:rPr>
              <w:t>年(</w:t>
            </w:r>
            <w:r w:rsidRPr="00E52912">
              <w:rPr>
                <w:rFonts w:ascii="仿宋" w:eastAsia="仿宋" w:hAnsi="仿宋" w:cs="宋体" w:hint="eastAsia"/>
                <w:sz w:val="24"/>
                <w:szCs w:val="28"/>
              </w:rPr>
              <w:t>201</w:t>
            </w:r>
            <w:r>
              <w:rPr>
                <w:rFonts w:ascii="仿宋" w:eastAsia="仿宋" w:hAnsi="仿宋" w:cs="宋体" w:hint="eastAsia"/>
                <w:sz w:val="24"/>
                <w:szCs w:val="28"/>
              </w:rPr>
              <w:t>5</w:t>
            </w:r>
            <w:r w:rsidRPr="00E52912">
              <w:rPr>
                <w:rFonts w:ascii="仿宋" w:eastAsia="仿宋" w:hAnsi="仿宋" w:cs="宋体" w:hint="eastAsia"/>
                <w:sz w:val="24"/>
                <w:szCs w:val="28"/>
              </w:rPr>
              <w:t>年</w:t>
            </w:r>
            <w:r>
              <w:rPr>
                <w:rFonts w:ascii="仿宋" w:eastAsia="仿宋" w:hAnsi="仿宋" w:cs="宋体" w:hint="eastAsia"/>
                <w:sz w:val="24"/>
                <w:szCs w:val="28"/>
              </w:rPr>
              <w:t>1</w:t>
            </w:r>
            <w:r w:rsidRPr="00E52912">
              <w:rPr>
                <w:rFonts w:ascii="仿宋" w:eastAsia="仿宋" w:hAnsi="仿宋" w:cs="宋体" w:hint="eastAsia"/>
                <w:sz w:val="24"/>
                <w:szCs w:val="28"/>
              </w:rPr>
              <w:t>月1日至开标当日)在厦门市内承接的市政公用工程项目</w:t>
            </w:r>
            <w:r w:rsidRPr="00E52912">
              <w:rPr>
                <w:rFonts w:ascii="仿宋" w:eastAsia="仿宋" w:hAnsi="仿宋" w:cs="宋体" w:hint="eastAsia"/>
                <w:bCs/>
                <w:sz w:val="24"/>
                <w:szCs w:val="28"/>
              </w:rPr>
              <w:t>；</w:t>
            </w:r>
            <w:r w:rsidRPr="00E52912">
              <w:rPr>
                <w:rFonts w:ascii="仿宋" w:eastAsia="仿宋" w:hAnsi="仿宋" w:cs="宋体" w:hint="eastAsia"/>
                <w:sz w:val="24"/>
                <w:szCs w:val="28"/>
              </w:rPr>
              <w:t>工程投资</w:t>
            </w:r>
            <w:r>
              <w:rPr>
                <w:rFonts w:ascii="仿宋" w:eastAsia="仿宋" w:hAnsi="仿宋" w:cs="宋体" w:hint="eastAsia"/>
                <w:sz w:val="24"/>
                <w:szCs w:val="28"/>
              </w:rPr>
              <w:t>8000万</w:t>
            </w:r>
            <w:r w:rsidRPr="00E52912">
              <w:rPr>
                <w:rFonts w:ascii="仿宋" w:eastAsia="仿宋" w:hAnsi="仿宋" w:cs="宋体" w:hint="eastAsia"/>
                <w:sz w:val="24"/>
                <w:szCs w:val="28"/>
              </w:rPr>
              <w:t>元以上</w:t>
            </w:r>
            <w:r>
              <w:rPr>
                <w:rFonts w:ascii="仿宋" w:eastAsia="仿宋" w:hAnsi="仿宋" w:cs="宋体" w:hint="eastAsia"/>
                <w:sz w:val="24"/>
                <w:szCs w:val="28"/>
              </w:rPr>
              <w:t>（</w:t>
            </w:r>
            <w:r w:rsidRPr="00E52912">
              <w:rPr>
                <w:rFonts w:ascii="仿宋" w:eastAsia="仿宋" w:hAnsi="仿宋" w:cs="宋体" w:hint="eastAsia"/>
                <w:sz w:val="24"/>
                <w:szCs w:val="28"/>
              </w:rPr>
              <w:t>含</w:t>
            </w:r>
            <w:r>
              <w:rPr>
                <w:rFonts w:ascii="仿宋" w:eastAsia="仿宋" w:hAnsi="仿宋" w:cs="宋体" w:hint="eastAsia"/>
                <w:sz w:val="24"/>
                <w:szCs w:val="28"/>
              </w:rPr>
              <w:t>8000万</w:t>
            </w:r>
            <w:r w:rsidRPr="00E52912">
              <w:rPr>
                <w:rFonts w:ascii="仿宋" w:eastAsia="仿宋" w:hAnsi="仿宋" w:cs="宋体" w:hint="eastAsia"/>
                <w:sz w:val="24"/>
                <w:szCs w:val="28"/>
              </w:rPr>
              <w:t>元）的市政公用工程项目，每项得</w:t>
            </w:r>
            <w:r>
              <w:rPr>
                <w:rFonts w:ascii="仿宋" w:eastAsia="仿宋" w:hAnsi="仿宋" w:cs="宋体" w:hint="eastAsia"/>
                <w:sz w:val="24"/>
                <w:szCs w:val="28"/>
              </w:rPr>
              <w:t>5</w:t>
            </w:r>
            <w:r w:rsidRPr="00E52912">
              <w:rPr>
                <w:rFonts w:ascii="仿宋" w:eastAsia="仿宋" w:hAnsi="仿宋" w:cs="宋体" w:hint="eastAsia"/>
                <w:sz w:val="24"/>
                <w:szCs w:val="28"/>
              </w:rPr>
              <w:t>分，工程投资</w:t>
            </w:r>
            <w:r>
              <w:rPr>
                <w:rFonts w:ascii="仿宋" w:eastAsia="仿宋" w:hAnsi="仿宋" w:cs="宋体" w:hint="eastAsia"/>
                <w:sz w:val="24"/>
                <w:szCs w:val="28"/>
              </w:rPr>
              <w:t>8000万元</w:t>
            </w:r>
            <w:r w:rsidRPr="00E52912">
              <w:rPr>
                <w:rFonts w:ascii="仿宋" w:eastAsia="仿宋" w:hAnsi="仿宋" w:cs="宋体" w:hint="eastAsia"/>
                <w:sz w:val="24"/>
                <w:szCs w:val="28"/>
              </w:rPr>
              <w:t>以下3000</w:t>
            </w:r>
            <w:r>
              <w:rPr>
                <w:rFonts w:ascii="仿宋" w:eastAsia="仿宋" w:hAnsi="仿宋" w:cs="宋体" w:hint="eastAsia"/>
                <w:sz w:val="24"/>
                <w:szCs w:val="28"/>
              </w:rPr>
              <w:t>万元以上（</w:t>
            </w:r>
            <w:r w:rsidRPr="00E52912">
              <w:rPr>
                <w:rFonts w:ascii="仿宋" w:eastAsia="仿宋" w:hAnsi="仿宋" w:cs="宋体" w:hint="eastAsia"/>
                <w:sz w:val="24"/>
                <w:szCs w:val="28"/>
              </w:rPr>
              <w:t>含3000万元）的市政公用工程项目，每项得</w:t>
            </w:r>
            <w:r>
              <w:rPr>
                <w:rFonts w:ascii="仿宋" w:eastAsia="仿宋" w:hAnsi="仿宋" w:cs="宋体" w:hint="eastAsia"/>
                <w:sz w:val="24"/>
                <w:szCs w:val="28"/>
              </w:rPr>
              <w:t>3</w:t>
            </w:r>
            <w:r w:rsidRPr="00E52912">
              <w:rPr>
                <w:rFonts w:ascii="仿宋" w:eastAsia="仿宋" w:hAnsi="仿宋" w:cs="宋体" w:hint="eastAsia"/>
                <w:sz w:val="24"/>
                <w:szCs w:val="28"/>
              </w:rPr>
              <w:t>分；</w:t>
            </w:r>
            <w:r>
              <w:rPr>
                <w:rFonts w:ascii="仿宋" w:eastAsia="仿宋" w:hAnsi="仿宋" w:cs="宋体" w:hint="eastAsia"/>
                <w:sz w:val="24"/>
                <w:szCs w:val="28"/>
              </w:rPr>
              <w:t>其它得2分。</w:t>
            </w:r>
          </w:p>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bCs/>
                <w:sz w:val="24"/>
                <w:szCs w:val="28"/>
              </w:rPr>
              <w:t>2、投标人近三年内获得的市级及以上监理奖项</w:t>
            </w:r>
            <w:r w:rsidRPr="00E52912">
              <w:rPr>
                <w:rFonts w:ascii="仿宋" w:eastAsia="仿宋" w:hAnsi="仿宋" w:cs="宋体" w:hint="eastAsia"/>
                <w:sz w:val="24"/>
                <w:szCs w:val="28"/>
              </w:rPr>
              <w:t>最多得</w:t>
            </w:r>
            <w:r w:rsidRPr="00E52912">
              <w:rPr>
                <w:rFonts w:ascii="仿宋" w:eastAsia="仿宋" w:hAnsi="仿宋" w:cs="宋体" w:hint="eastAsia"/>
                <w:bCs/>
                <w:sz w:val="24"/>
                <w:szCs w:val="28"/>
              </w:rPr>
              <w:t>5分；每个奖项得2.5分。</w:t>
            </w:r>
          </w:p>
        </w:tc>
        <w:tc>
          <w:tcPr>
            <w:tcW w:w="1985"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业绩2</w:t>
            </w:r>
            <w:r w:rsidRPr="00E52912">
              <w:rPr>
                <w:rFonts w:ascii="仿宋" w:eastAsia="仿宋" w:hAnsi="仿宋" w:cs="宋体"/>
                <w:sz w:val="24"/>
                <w:szCs w:val="28"/>
              </w:rPr>
              <w:t>3</w:t>
            </w:r>
            <w:r w:rsidRPr="00E52912">
              <w:rPr>
                <w:rFonts w:ascii="仿宋" w:eastAsia="仿宋" w:hAnsi="仿宋" w:cs="宋体" w:hint="eastAsia"/>
                <w:sz w:val="24"/>
                <w:szCs w:val="28"/>
              </w:rPr>
              <w:t>分</w:t>
            </w:r>
          </w:p>
        </w:tc>
        <w:tc>
          <w:tcPr>
            <w:tcW w:w="850" w:type="dxa"/>
          </w:tcPr>
          <w:p w:rsidR="00797772" w:rsidRPr="00E52912" w:rsidRDefault="00797772" w:rsidP="00AB7D74">
            <w:pPr>
              <w:spacing w:line="276" w:lineRule="auto"/>
              <w:jc w:val="center"/>
              <w:rPr>
                <w:rFonts w:ascii="仿宋" w:eastAsia="仿宋" w:hAnsi="仿宋" w:cs="宋体"/>
                <w:sz w:val="24"/>
                <w:szCs w:val="28"/>
              </w:rPr>
            </w:pPr>
          </w:p>
        </w:tc>
      </w:tr>
      <w:tr w:rsidR="00797772" w:rsidRPr="00E52912" w:rsidTr="00797772">
        <w:trPr>
          <w:trHeight w:val="799"/>
        </w:trPr>
        <w:tc>
          <w:tcPr>
            <w:tcW w:w="851"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3</w:t>
            </w:r>
          </w:p>
        </w:tc>
        <w:tc>
          <w:tcPr>
            <w:tcW w:w="9922" w:type="dxa"/>
            <w:vAlign w:val="center"/>
          </w:tcPr>
          <w:p w:rsidR="00797772" w:rsidRPr="00E52912" w:rsidRDefault="00797772" w:rsidP="00AB7D74">
            <w:pPr>
              <w:spacing w:line="276" w:lineRule="auto"/>
              <w:rPr>
                <w:rFonts w:ascii="仿宋" w:eastAsia="仿宋" w:hAnsi="仿宋" w:cs="宋体"/>
                <w:bCs/>
                <w:sz w:val="24"/>
                <w:szCs w:val="28"/>
              </w:rPr>
            </w:pPr>
            <w:r w:rsidRPr="00E52912">
              <w:rPr>
                <w:rFonts w:ascii="仿宋" w:eastAsia="仿宋" w:hAnsi="仿宋" w:cs="宋体"/>
                <w:bCs/>
                <w:sz w:val="24"/>
                <w:szCs w:val="28"/>
              </w:rPr>
              <w:t>1</w:t>
            </w:r>
            <w:r w:rsidRPr="00E52912">
              <w:rPr>
                <w:rFonts w:ascii="仿宋" w:eastAsia="仿宋" w:hAnsi="仿宋" w:cs="宋体" w:hint="eastAsia"/>
                <w:bCs/>
                <w:sz w:val="24"/>
                <w:szCs w:val="28"/>
              </w:rPr>
              <w:t>、投标人在厦门人员:具有国家或福建省注册监理工程师不少于</w:t>
            </w:r>
            <w:r w:rsidRPr="00E52912">
              <w:rPr>
                <w:rFonts w:ascii="仿宋" w:eastAsia="仿宋" w:hAnsi="仿宋" w:cs="宋体"/>
                <w:bCs/>
                <w:sz w:val="24"/>
                <w:szCs w:val="28"/>
              </w:rPr>
              <w:t>10</w:t>
            </w:r>
            <w:r w:rsidRPr="00E52912">
              <w:rPr>
                <w:rFonts w:ascii="仿宋" w:eastAsia="仿宋" w:hAnsi="仿宋" w:cs="宋体" w:hint="eastAsia"/>
                <w:bCs/>
                <w:sz w:val="24"/>
                <w:szCs w:val="28"/>
              </w:rPr>
              <w:t>人，注册专业为市政公用工程。其中，①具有</w:t>
            </w:r>
            <w:r w:rsidRPr="00E52912">
              <w:rPr>
                <w:rFonts w:ascii="仿宋" w:eastAsia="仿宋" w:hAnsi="仿宋" w:cs="宋体"/>
                <w:bCs/>
                <w:sz w:val="24"/>
                <w:szCs w:val="28"/>
              </w:rPr>
              <w:t>国家注册监理工程师</w:t>
            </w:r>
            <w:r w:rsidRPr="00E52912">
              <w:rPr>
                <w:rFonts w:ascii="仿宋" w:eastAsia="仿宋" w:hAnsi="仿宋" w:cs="宋体" w:hint="eastAsia"/>
                <w:bCs/>
                <w:sz w:val="24"/>
                <w:szCs w:val="28"/>
              </w:rPr>
              <w:t>且具有</w:t>
            </w:r>
            <w:r w:rsidRPr="00E52912">
              <w:rPr>
                <w:rFonts w:ascii="仿宋" w:eastAsia="仿宋" w:hAnsi="仿宋" w:cs="宋体"/>
                <w:bCs/>
                <w:sz w:val="24"/>
                <w:szCs w:val="28"/>
              </w:rPr>
              <w:t>高级工程师以上职称</w:t>
            </w:r>
            <w:r w:rsidRPr="00E52912">
              <w:rPr>
                <w:rFonts w:ascii="仿宋" w:eastAsia="仿宋" w:hAnsi="仿宋" w:cs="宋体" w:hint="eastAsia"/>
                <w:bCs/>
                <w:sz w:val="24"/>
                <w:szCs w:val="28"/>
              </w:rPr>
              <w:t>，</w:t>
            </w:r>
            <w:r w:rsidRPr="00E52912">
              <w:rPr>
                <w:rFonts w:ascii="仿宋" w:eastAsia="仿宋" w:hAnsi="仿宋" w:cs="宋体"/>
                <w:bCs/>
                <w:sz w:val="24"/>
                <w:szCs w:val="28"/>
              </w:rPr>
              <w:t>每个得1</w:t>
            </w:r>
            <w:r w:rsidRPr="00E52912">
              <w:rPr>
                <w:rFonts w:ascii="仿宋" w:eastAsia="仿宋" w:hAnsi="仿宋" w:cs="宋体" w:hint="eastAsia"/>
                <w:bCs/>
                <w:sz w:val="24"/>
                <w:szCs w:val="28"/>
              </w:rPr>
              <w:t>分；②具有</w:t>
            </w:r>
            <w:r w:rsidRPr="00E52912">
              <w:rPr>
                <w:rFonts w:ascii="仿宋" w:eastAsia="仿宋" w:hAnsi="仿宋" w:cs="宋体"/>
                <w:bCs/>
                <w:sz w:val="24"/>
                <w:szCs w:val="28"/>
              </w:rPr>
              <w:t>国家注册监理工程师</w:t>
            </w:r>
            <w:r w:rsidRPr="00E52912">
              <w:rPr>
                <w:rFonts w:ascii="仿宋" w:eastAsia="仿宋" w:hAnsi="仿宋" w:cs="宋体" w:hint="eastAsia"/>
                <w:bCs/>
                <w:sz w:val="24"/>
                <w:szCs w:val="28"/>
              </w:rPr>
              <w:t>且具有</w:t>
            </w:r>
            <w:r w:rsidRPr="00E52912">
              <w:rPr>
                <w:rFonts w:ascii="仿宋" w:eastAsia="仿宋" w:hAnsi="仿宋" w:cs="宋体"/>
                <w:bCs/>
                <w:sz w:val="24"/>
                <w:szCs w:val="28"/>
              </w:rPr>
              <w:t>工程师职称</w:t>
            </w:r>
            <w:r w:rsidRPr="00E52912">
              <w:rPr>
                <w:rFonts w:ascii="仿宋" w:eastAsia="仿宋" w:hAnsi="仿宋" w:cs="宋体" w:hint="eastAsia"/>
                <w:bCs/>
                <w:sz w:val="24"/>
                <w:szCs w:val="28"/>
              </w:rPr>
              <w:t>，</w:t>
            </w:r>
            <w:r w:rsidRPr="00E52912">
              <w:rPr>
                <w:rFonts w:ascii="仿宋" w:eastAsia="仿宋" w:hAnsi="仿宋" w:cs="宋体"/>
                <w:bCs/>
                <w:sz w:val="24"/>
                <w:szCs w:val="28"/>
              </w:rPr>
              <w:t>每个得0.5</w:t>
            </w:r>
            <w:r w:rsidRPr="00E52912">
              <w:rPr>
                <w:rFonts w:ascii="仿宋" w:eastAsia="仿宋" w:hAnsi="仿宋" w:cs="宋体" w:hint="eastAsia"/>
                <w:bCs/>
                <w:sz w:val="24"/>
                <w:szCs w:val="28"/>
              </w:rPr>
              <w:t>分；③</w:t>
            </w:r>
            <w:r w:rsidRPr="00E52912">
              <w:rPr>
                <w:rFonts w:ascii="仿宋" w:eastAsia="仿宋" w:hAnsi="仿宋" w:cs="宋体"/>
                <w:bCs/>
                <w:sz w:val="24"/>
                <w:szCs w:val="28"/>
              </w:rPr>
              <w:t>具有福建省注册监理工程师</w:t>
            </w:r>
            <w:r w:rsidRPr="00E52912">
              <w:rPr>
                <w:rFonts w:ascii="仿宋" w:eastAsia="仿宋" w:hAnsi="仿宋" w:cs="宋体" w:hint="eastAsia"/>
                <w:bCs/>
                <w:sz w:val="24"/>
                <w:szCs w:val="28"/>
              </w:rPr>
              <w:t>且具有</w:t>
            </w:r>
            <w:r w:rsidRPr="00E52912">
              <w:rPr>
                <w:rFonts w:ascii="仿宋" w:eastAsia="仿宋" w:hAnsi="仿宋" w:cs="宋体"/>
                <w:bCs/>
                <w:sz w:val="24"/>
                <w:szCs w:val="28"/>
              </w:rPr>
              <w:t>工程师</w:t>
            </w:r>
            <w:r w:rsidRPr="00E52912">
              <w:rPr>
                <w:rFonts w:ascii="仿宋" w:eastAsia="仿宋" w:hAnsi="仿宋" w:cs="宋体" w:hint="eastAsia"/>
                <w:bCs/>
                <w:sz w:val="24"/>
                <w:szCs w:val="28"/>
              </w:rPr>
              <w:t>及</w:t>
            </w:r>
            <w:r w:rsidRPr="00E52912">
              <w:rPr>
                <w:rFonts w:ascii="仿宋" w:eastAsia="仿宋" w:hAnsi="仿宋" w:cs="宋体"/>
                <w:bCs/>
                <w:sz w:val="24"/>
                <w:szCs w:val="28"/>
              </w:rPr>
              <w:t>以上职称</w:t>
            </w:r>
            <w:r w:rsidRPr="00E52912">
              <w:rPr>
                <w:rFonts w:ascii="仿宋" w:eastAsia="仿宋" w:hAnsi="仿宋" w:cs="宋体" w:hint="eastAsia"/>
                <w:bCs/>
                <w:sz w:val="24"/>
                <w:szCs w:val="28"/>
              </w:rPr>
              <w:t>，</w:t>
            </w:r>
            <w:r w:rsidRPr="00E52912">
              <w:rPr>
                <w:rFonts w:ascii="仿宋" w:eastAsia="仿宋" w:hAnsi="仿宋" w:cs="宋体"/>
                <w:bCs/>
                <w:sz w:val="24"/>
                <w:szCs w:val="28"/>
              </w:rPr>
              <w:t>每个得0.5</w:t>
            </w:r>
            <w:r w:rsidRPr="00E52912">
              <w:rPr>
                <w:rFonts w:ascii="仿宋" w:eastAsia="仿宋" w:hAnsi="仿宋" w:cs="宋体" w:hint="eastAsia"/>
                <w:bCs/>
                <w:sz w:val="24"/>
                <w:szCs w:val="28"/>
              </w:rPr>
              <w:t>分。最多得15分。</w:t>
            </w:r>
          </w:p>
          <w:p w:rsidR="00797772" w:rsidRPr="00E52912" w:rsidRDefault="00797772" w:rsidP="00AB7D74">
            <w:pPr>
              <w:spacing w:line="276" w:lineRule="auto"/>
              <w:jc w:val="left"/>
              <w:rPr>
                <w:rFonts w:ascii="仿宋" w:eastAsia="仿宋" w:hAnsi="仿宋" w:cs="宋体"/>
                <w:bCs/>
                <w:sz w:val="24"/>
                <w:szCs w:val="28"/>
              </w:rPr>
            </w:pPr>
            <w:r w:rsidRPr="00E52912">
              <w:rPr>
                <w:rFonts w:ascii="仿宋" w:eastAsia="仿宋" w:hAnsi="仿宋" w:cs="宋体"/>
                <w:bCs/>
                <w:sz w:val="24"/>
                <w:szCs w:val="28"/>
              </w:rPr>
              <w:t>2</w:t>
            </w:r>
            <w:r w:rsidRPr="00E52912">
              <w:rPr>
                <w:rFonts w:ascii="仿宋" w:eastAsia="仿宋" w:hAnsi="仿宋" w:cs="宋体" w:hint="eastAsia"/>
                <w:bCs/>
                <w:sz w:val="24"/>
                <w:szCs w:val="28"/>
              </w:rPr>
              <w:t>、以上人员需提供相应的劳动合同及厦门市缴交的社会保险,</w:t>
            </w:r>
            <w:r w:rsidRPr="00E52912">
              <w:rPr>
                <w:rFonts w:ascii="仿宋" w:eastAsia="仿宋" w:hAnsi="仿宋" w:cs="宋体" w:hint="eastAsia"/>
                <w:sz w:val="24"/>
                <w:szCs w:val="28"/>
              </w:rPr>
              <w:t xml:space="preserve"> </w:t>
            </w:r>
            <w:r w:rsidRPr="00E52912">
              <w:rPr>
                <w:rFonts w:ascii="仿宋" w:eastAsia="仿宋" w:hAnsi="仿宋" w:cs="宋体" w:hint="eastAsia"/>
                <w:bCs/>
                <w:sz w:val="24"/>
                <w:szCs w:val="28"/>
              </w:rPr>
              <w:t>否则此项不得分。</w:t>
            </w:r>
          </w:p>
        </w:tc>
        <w:tc>
          <w:tcPr>
            <w:tcW w:w="1985"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投标人在厦门市的人员及专业配置15分</w:t>
            </w:r>
          </w:p>
        </w:tc>
        <w:tc>
          <w:tcPr>
            <w:tcW w:w="850" w:type="dxa"/>
          </w:tcPr>
          <w:p w:rsidR="00797772" w:rsidRPr="00E52912" w:rsidRDefault="00797772" w:rsidP="00AB7D74">
            <w:pPr>
              <w:spacing w:line="276" w:lineRule="auto"/>
              <w:jc w:val="center"/>
              <w:rPr>
                <w:rFonts w:ascii="仿宋" w:eastAsia="仿宋" w:hAnsi="仿宋" w:cs="宋体"/>
                <w:sz w:val="24"/>
                <w:szCs w:val="28"/>
              </w:rPr>
            </w:pPr>
          </w:p>
        </w:tc>
      </w:tr>
      <w:tr w:rsidR="00797772" w:rsidRPr="00E52912" w:rsidTr="00797772">
        <w:trPr>
          <w:trHeight w:val="1107"/>
        </w:trPr>
        <w:tc>
          <w:tcPr>
            <w:tcW w:w="851"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4</w:t>
            </w:r>
          </w:p>
        </w:tc>
        <w:tc>
          <w:tcPr>
            <w:tcW w:w="9922" w:type="dxa"/>
            <w:vAlign w:val="center"/>
          </w:tcPr>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承诺承接项目总监理工程师具有</w:t>
            </w:r>
            <w:r w:rsidRPr="00E52912">
              <w:rPr>
                <w:rFonts w:ascii="仿宋" w:eastAsia="仿宋" w:hAnsi="仿宋" w:cs="宋体" w:hint="eastAsia"/>
                <w:bCs/>
                <w:sz w:val="24"/>
                <w:szCs w:val="28"/>
              </w:rPr>
              <w:t>市政公用工程专业国家或福建省注册监理工程师资格证书，并具有</w:t>
            </w:r>
            <w:r w:rsidRPr="00E52912">
              <w:rPr>
                <w:rFonts w:ascii="仿宋" w:eastAsia="仿宋" w:hAnsi="仿宋" w:cs="宋体" w:hint="eastAsia"/>
                <w:sz w:val="24"/>
                <w:szCs w:val="28"/>
              </w:rPr>
              <w:t>工程师及以上职称的得</w:t>
            </w:r>
            <w:r w:rsidRPr="00E52912">
              <w:rPr>
                <w:rFonts w:ascii="仿宋" w:eastAsia="仿宋" w:hAnsi="仿宋" w:cs="宋体"/>
                <w:sz w:val="24"/>
                <w:szCs w:val="28"/>
              </w:rPr>
              <w:t>4</w:t>
            </w:r>
            <w:r w:rsidRPr="00E52912">
              <w:rPr>
                <w:rFonts w:ascii="仿宋" w:eastAsia="仿宋" w:hAnsi="仿宋" w:cs="宋体" w:hint="eastAsia"/>
                <w:sz w:val="24"/>
                <w:szCs w:val="28"/>
              </w:rPr>
              <w:t>分；承诺承接项目专业监理工程师按项目要求配备，具有相关专业资格证书，并具有工程师及以上职称的得</w:t>
            </w:r>
            <w:r w:rsidRPr="00E52912">
              <w:rPr>
                <w:rFonts w:ascii="仿宋" w:eastAsia="仿宋" w:hAnsi="仿宋" w:cs="宋体"/>
                <w:sz w:val="24"/>
                <w:szCs w:val="28"/>
              </w:rPr>
              <w:t>2</w:t>
            </w:r>
            <w:r w:rsidRPr="00E52912">
              <w:rPr>
                <w:rFonts w:ascii="仿宋" w:eastAsia="仿宋" w:hAnsi="仿宋" w:cs="宋体" w:hint="eastAsia"/>
                <w:sz w:val="24"/>
                <w:szCs w:val="28"/>
              </w:rPr>
              <w:t>分；承诺承接项目监理员按项目要求配备，具有相关专业资格证书，并具有助理工程师及以上职称的得</w:t>
            </w:r>
            <w:r w:rsidRPr="00E52912">
              <w:rPr>
                <w:rFonts w:ascii="仿宋" w:eastAsia="仿宋" w:hAnsi="仿宋" w:cs="宋体"/>
                <w:sz w:val="24"/>
                <w:szCs w:val="28"/>
              </w:rPr>
              <w:t>1</w:t>
            </w:r>
            <w:r w:rsidRPr="00E52912">
              <w:rPr>
                <w:rFonts w:ascii="仿宋" w:eastAsia="仿宋" w:hAnsi="仿宋" w:cs="宋体" w:hint="eastAsia"/>
                <w:sz w:val="24"/>
                <w:szCs w:val="28"/>
              </w:rPr>
              <w:t>分。</w:t>
            </w:r>
          </w:p>
        </w:tc>
        <w:tc>
          <w:tcPr>
            <w:tcW w:w="1985"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投标人投入到承接项目的人员及专业配置</w:t>
            </w:r>
            <w:r w:rsidRPr="00E52912">
              <w:rPr>
                <w:rFonts w:ascii="仿宋" w:eastAsia="仿宋" w:hAnsi="仿宋" w:cs="宋体"/>
                <w:sz w:val="24"/>
                <w:szCs w:val="28"/>
              </w:rPr>
              <w:t>7</w:t>
            </w:r>
            <w:r w:rsidRPr="00E52912">
              <w:rPr>
                <w:rFonts w:ascii="仿宋" w:eastAsia="仿宋" w:hAnsi="仿宋" w:cs="宋体" w:hint="eastAsia"/>
                <w:sz w:val="24"/>
                <w:szCs w:val="28"/>
              </w:rPr>
              <w:t>分</w:t>
            </w:r>
          </w:p>
        </w:tc>
        <w:tc>
          <w:tcPr>
            <w:tcW w:w="850" w:type="dxa"/>
          </w:tcPr>
          <w:p w:rsidR="00797772" w:rsidRPr="00E52912" w:rsidRDefault="00797772" w:rsidP="00AB7D74">
            <w:pPr>
              <w:spacing w:line="276" w:lineRule="auto"/>
              <w:jc w:val="center"/>
              <w:rPr>
                <w:rFonts w:ascii="仿宋" w:eastAsia="仿宋" w:hAnsi="仿宋" w:cs="宋体"/>
                <w:sz w:val="24"/>
                <w:szCs w:val="28"/>
              </w:rPr>
            </w:pPr>
          </w:p>
        </w:tc>
      </w:tr>
      <w:tr w:rsidR="00797772" w:rsidRPr="00E52912" w:rsidTr="00797772">
        <w:trPr>
          <w:trHeight w:val="854"/>
        </w:trPr>
        <w:tc>
          <w:tcPr>
            <w:tcW w:w="851"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lastRenderedPageBreak/>
              <w:t>5</w:t>
            </w:r>
          </w:p>
        </w:tc>
        <w:tc>
          <w:tcPr>
            <w:tcW w:w="9922" w:type="dxa"/>
            <w:vAlign w:val="center"/>
          </w:tcPr>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投标人20</w:t>
            </w:r>
            <w:r>
              <w:rPr>
                <w:rFonts w:ascii="仿宋" w:eastAsia="仿宋" w:hAnsi="仿宋" w:cs="宋体" w:hint="eastAsia"/>
                <w:sz w:val="24"/>
                <w:szCs w:val="28"/>
              </w:rPr>
              <w:t>19</w:t>
            </w:r>
            <w:r w:rsidRPr="00E52912">
              <w:rPr>
                <w:rFonts w:ascii="仿宋" w:eastAsia="仿宋" w:hAnsi="仿宋" w:cs="宋体" w:hint="eastAsia"/>
                <w:sz w:val="24"/>
                <w:szCs w:val="28"/>
              </w:rPr>
              <w:t>年度在厦门市纳税额：</w:t>
            </w:r>
          </w:p>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1、大于</w:t>
            </w:r>
            <w:r>
              <w:rPr>
                <w:rFonts w:ascii="仿宋" w:eastAsia="仿宋" w:hAnsi="仿宋" w:cs="宋体" w:hint="eastAsia"/>
                <w:sz w:val="24"/>
                <w:szCs w:val="28"/>
              </w:rPr>
              <w:t>3</w:t>
            </w:r>
            <w:r w:rsidRPr="00E52912">
              <w:rPr>
                <w:rFonts w:ascii="仿宋" w:eastAsia="仿宋" w:hAnsi="仿宋" w:cs="宋体" w:hint="eastAsia"/>
                <w:sz w:val="24"/>
                <w:szCs w:val="28"/>
              </w:rPr>
              <w:t>00</w:t>
            </w:r>
            <w:r>
              <w:rPr>
                <w:rFonts w:ascii="仿宋" w:eastAsia="仿宋" w:hAnsi="仿宋" w:cs="宋体" w:hint="eastAsia"/>
                <w:sz w:val="24"/>
                <w:szCs w:val="28"/>
              </w:rPr>
              <w:t>万元（</w:t>
            </w:r>
            <w:r w:rsidRPr="00E52912">
              <w:rPr>
                <w:rFonts w:ascii="仿宋" w:eastAsia="仿宋" w:hAnsi="仿宋" w:cs="宋体" w:hint="eastAsia"/>
                <w:sz w:val="24"/>
                <w:szCs w:val="28"/>
              </w:rPr>
              <w:t>含</w:t>
            </w:r>
            <w:r>
              <w:rPr>
                <w:rFonts w:ascii="仿宋" w:eastAsia="仿宋" w:hAnsi="仿宋" w:cs="宋体" w:hint="eastAsia"/>
                <w:sz w:val="24"/>
                <w:szCs w:val="28"/>
              </w:rPr>
              <w:t>3</w:t>
            </w:r>
            <w:r w:rsidRPr="00E52912">
              <w:rPr>
                <w:rFonts w:ascii="仿宋" w:eastAsia="仿宋" w:hAnsi="仿宋" w:cs="宋体" w:hint="eastAsia"/>
                <w:sz w:val="24"/>
                <w:szCs w:val="28"/>
              </w:rPr>
              <w:t>00万元）的，得5分；</w:t>
            </w:r>
          </w:p>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2、</w:t>
            </w:r>
            <w:r>
              <w:rPr>
                <w:rFonts w:ascii="仿宋" w:eastAsia="仿宋" w:hAnsi="仿宋" w:cs="宋体" w:hint="eastAsia"/>
                <w:sz w:val="24"/>
                <w:szCs w:val="28"/>
              </w:rPr>
              <w:t>3</w:t>
            </w:r>
            <w:r w:rsidRPr="00E52912">
              <w:rPr>
                <w:rFonts w:ascii="仿宋" w:eastAsia="仿宋" w:hAnsi="仿宋" w:cs="宋体" w:hint="eastAsia"/>
                <w:sz w:val="24"/>
                <w:szCs w:val="28"/>
              </w:rPr>
              <w:t>00万元以下、</w:t>
            </w:r>
            <w:r>
              <w:rPr>
                <w:rFonts w:ascii="仿宋" w:eastAsia="仿宋" w:hAnsi="仿宋" w:cs="宋体" w:hint="eastAsia"/>
                <w:sz w:val="24"/>
                <w:szCs w:val="28"/>
              </w:rPr>
              <w:t>20</w:t>
            </w:r>
            <w:r w:rsidRPr="00E52912">
              <w:rPr>
                <w:rFonts w:ascii="仿宋" w:eastAsia="仿宋" w:hAnsi="仿宋" w:cs="宋体" w:hint="eastAsia"/>
                <w:sz w:val="24"/>
                <w:szCs w:val="28"/>
              </w:rPr>
              <w:t>0</w:t>
            </w:r>
            <w:r>
              <w:rPr>
                <w:rFonts w:ascii="仿宋" w:eastAsia="仿宋" w:hAnsi="仿宋" w:cs="宋体" w:hint="eastAsia"/>
                <w:sz w:val="24"/>
                <w:szCs w:val="28"/>
              </w:rPr>
              <w:t>万元以上（</w:t>
            </w:r>
            <w:r w:rsidRPr="00E52912">
              <w:rPr>
                <w:rFonts w:ascii="仿宋" w:eastAsia="仿宋" w:hAnsi="仿宋" w:cs="宋体" w:hint="eastAsia"/>
                <w:sz w:val="24"/>
                <w:szCs w:val="28"/>
              </w:rPr>
              <w:t>含</w:t>
            </w:r>
            <w:r>
              <w:rPr>
                <w:rFonts w:ascii="仿宋" w:eastAsia="仿宋" w:hAnsi="仿宋" w:cs="宋体" w:hint="eastAsia"/>
                <w:sz w:val="24"/>
                <w:szCs w:val="28"/>
              </w:rPr>
              <w:t>2</w:t>
            </w:r>
            <w:r w:rsidRPr="00E52912">
              <w:rPr>
                <w:rFonts w:ascii="仿宋" w:eastAsia="仿宋" w:hAnsi="仿宋" w:cs="宋体" w:hint="eastAsia"/>
                <w:sz w:val="24"/>
                <w:szCs w:val="28"/>
              </w:rPr>
              <w:t>00万元）的，得4分；</w:t>
            </w:r>
          </w:p>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3、</w:t>
            </w:r>
            <w:r>
              <w:rPr>
                <w:rFonts w:ascii="仿宋" w:eastAsia="仿宋" w:hAnsi="仿宋" w:cs="宋体" w:hint="eastAsia"/>
                <w:sz w:val="24"/>
                <w:szCs w:val="28"/>
              </w:rPr>
              <w:t>2</w:t>
            </w:r>
            <w:r w:rsidRPr="00E52912">
              <w:rPr>
                <w:rFonts w:ascii="仿宋" w:eastAsia="仿宋" w:hAnsi="仿宋" w:cs="宋体" w:hint="eastAsia"/>
                <w:sz w:val="24"/>
                <w:szCs w:val="28"/>
              </w:rPr>
              <w:t>00万元以下、</w:t>
            </w:r>
            <w:r>
              <w:rPr>
                <w:rFonts w:ascii="仿宋" w:eastAsia="仿宋" w:hAnsi="仿宋" w:cs="宋体" w:hint="eastAsia"/>
                <w:sz w:val="24"/>
                <w:szCs w:val="28"/>
              </w:rPr>
              <w:t>5</w:t>
            </w:r>
            <w:r w:rsidRPr="00E52912">
              <w:rPr>
                <w:rFonts w:ascii="仿宋" w:eastAsia="仿宋" w:hAnsi="仿宋" w:cs="宋体" w:hint="eastAsia"/>
                <w:sz w:val="24"/>
                <w:szCs w:val="28"/>
              </w:rPr>
              <w:t>0</w:t>
            </w:r>
            <w:r>
              <w:rPr>
                <w:rFonts w:ascii="仿宋" w:eastAsia="仿宋" w:hAnsi="仿宋" w:cs="宋体" w:hint="eastAsia"/>
                <w:sz w:val="24"/>
                <w:szCs w:val="28"/>
              </w:rPr>
              <w:t>万元以上（</w:t>
            </w:r>
            <w:r w:rsidRPr="00E52912">
              <w:rPr>
                <w:rFonts w:ascii="仿宋" w:eastAsia="仿宋" w:hAnsi="仿宋" w:cs="宋体" w:hint="eastAsia"/>
                <w:sz w:val="24"/>
                <w:szCs w:val="28"/>
              </w:rPr>
              <w:t>含</w:t>
            </w:r>
            <w:r>
              <w:rPr>
                <w:rFonts w:ascii="仿宋" w:eastAsia="仿宋" w:hAnsi="仿宋" w:cs="宋体" w:hint="eastAsia"/>
                <w:sz w:val="24"/>
                <w:szCs w:val="28"/>
              </w:rPr>
              <w:t>5</w:t>
            </w:r>
            <w:r w:rsidRPr="00E52912">
              <w:rPr>
                <w:rFonts w:ascii="仿宋" w:eastAsia="仿宋" w:hAnsi="仿宋" w:cs="宋体" w:hint="eastAsia"/>
                <w:sz w:val="24"/>
                <w:szCs w:val="28"/>
              </w:rPr>
              <w:t>0万元）的，得2分。</w:t>
            </w:r>
          </w:p>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其余不得分。纳税额需附上有效证明复印件。</w:t>
            </w:r>
          </w:p>
        </w:tc>
        <w:tc>
          <w:tcPr>
            <w:tcW w:w="1985"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投标人20</w:t>
            </w:r>
            <w:r>
              <w:rPr>
                <w:rFonts w:ascii="仿宋" w:eastAsia="仿宋" w:hAnsi="仿宋" w:cs="宋体" w:hint="eastAsia"/>
                <w:sz w:val="24"/>
                <w:szCs w:val="28"/>
              </w:rPr>
              <w:t>19</w:t>
            </w:r>
            <w:r w:rsidRPr="00E52912">
              <w:rPr>
                <w:rFonts w:ascii="仿宋" w:eastAsia="仿宋" w:hAnsi="仿宋" w:cs="宋体" w:hint="eastAsia"/>
                <w:sz w:val="24"/>
                <w:szCs w:val="28"/>
              </w:rPr>
              <w:t>年度在厦门市的纳税情况5分</w:t>
            </w:r>
          </w:p>
        </w:tc>
        <w:tc>
          <w:tcPr>
            <w:tcW w:w="850" w:type="dxa"/>
          </w:tcPr>
          <w:p w:rsidR="00797772" w:rsidRPr="00E52912" w:rsidRDefault="00797772" w:rsidP="00AB7D74">
            <w:pPr>
              <w:spacing w:line="276" w:lineRule="auto"/>
              <w:jc w:val="center"/>
              <w:rPr>
                <w:rFonts w:ascii="仿宋" w:eastAsia="仿宋" w:hAnsi="仿宋" w:cs="宋体"/>
                <w:sz w:val="24"/>
                <w:szCs w:val="28"/>
              </w:rPr>
            </w:pPr>
          </w:p>
        </w:tc>
      </w:tr>
      <w:tr w:rsidR="00797772" w:rsidRPr="00E52912" w:rsidTr="00797772">
        <w:trPr>
          <w:trHeight w:val="854"/>
        </w:trPr>
        <w:tc>
          <w:tcPr>
            <w:tcW w:w="851"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sz w:val="24"/>
                <w:szCs w:val="28"/>
              </w:rPr>
              <w:t>6</w:t>
            </w:r>
          </w:p>
        </w:tc>
        <w:tc>
          <w:tcPr>
            <w:tcW w:w="9922" w:type="dxa"/>
            <w:vAlign w:val="center"/>
          </w:tcPr>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进度积极响应招标文件和满足审批时限要求且保障措施较合理的9-10分；合理6-8分；一般3-5分，其余1-2分。</w:t>
            </w:r>
          </w:p>
        </w:tc>
        <w:tc>
          <w:tcPr>
            <w:tcW w:w="1985"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服务工作进度及保障措施10分</w:t>
            </w:r>
          </w:p>
        </w:tc>
        <w:tc>
          <w:tcPr>
            <w:tcW w:w="850" w:type="dxa"/>
          </w:tcPr>
          <w:p w:rsidR="00797772" w:rsidRPr="00E52912" w:rsidRDefault="00797772" w:rsidP="00AB7D74">
            <w:pPr>
              <w:spacing w:line="276" w:lineRule="auto"/>
              <w:jc w:val="center"/>
              <w:rPr>
                <w:rFonts w:ascii="仿宋" w:eastAsia="仿宋" w:hAnsi="仿宋" w:cs="宋体"/>
                <w:sz w:val="24"/>
                <w:szCs w:val="28"/>
              </w:rPr>
            </w:pPr>
          </w:p>
        </w:tc>
      </w:tr>
      <w:tr w:rsidR="00797772" w:rsidRPr="00E52912" w:rsidTr="00797772">
        <w:trPr>
          <w:trHeight w:val="917"/>
        </w:trPr>
        <w:tc>
          <w:tcPr>
            <w:tcW w:w="851"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sz w:val="24"/>
                <w:szCs w:val="28"/>
              </w:rPr>
              <w:t>7</w:t>
            </w:r>
          </w:p>
        </w:tc>
        <w:tc>
          <w:tcPr>
            <w:tcW w:w="9922" w:type="dxa"/>
            <w:vAlign w:val="center"/>
          </w:tcPr>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1、投标人为厦门本地企业或在厦门工商行政管理部门注册有分支机构的得3分（以提供单位法人证书或营业执照复印件为依据）；</w:t>
            </w:r>
          </w:p>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2、风险因素分析明确、清楚的得4-5分，一般的得2-3分，不完善的得0-1分。</w:t>
            </w:r>
          </w:p>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3、风险控制管理措施较完善的得4-5分，完善的得2-3分，不完善的得0-1分。</w:t>
            </w:r>
          </w:p>
        </w:tc>
        <w:tc>
          <w:tcPr>
            <w:tcW w:w="1985"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hint="eastAsia"/>
                <w:sz w:val="24"/>
                <w:szCs w:val="28"/>
              </w:rPr>
              <w:t>服务质量及风险控制13分</w:t>
            </w:r>
          </w:p>
        </w:tc>
        <w:tc>
          <w:tcPr>
            <w:tcW w:w="850" w:type="dxa"/>
          </w:tcPr>
          <w:p w:rsidR="00797772" w:rsidRPr="00E52912" w:rsidRDefault="00797772" w:rsidP="00AB7D74">
            <w:pPr>
              <w:spacing w:line="276" w:lineRule="auto"/>
              <w:jc w:val="center"/>
              <w:rPr>
                <w:rFonts w:ascii="仿宋" w:eastAsia="仿宋" w:hAnsi="仿宋" w:cs="宋体"/>
                <w:sz w:val="24"/>
                <w:szCs w:val="28"/>
              </w:rPr>
            </w:pPr>
          </w:p>
        </w:tc>
      </w:tr>
      <w:tr w:rsidR="00797772" w:rsidRPr="00E52912" w:rsidTr="00797772">
        <w:trPr>
          <w:trHeight w:val="917"/>
        </w:trPr>
        <w:tc>
          <w:tcPr>
            <w:tcW w:w="851"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宋体"/>
                <w:sz w:val="24"/>
                <w:szCs w:val="28"/>
              </w:rPr>
              <w:t>8</w:t>
            </w:r>
          </w:p>
        </w:tc>
        <w:tc>
          <w:tcPr>
            <w:tcW w:w="9922" w:type="dxa"/>
            <w:vAlign w:val="center"/>
          </w:tcPr>
          <w:p w:rsidR="00797772" w:rsidRPr="00E52912" w:rsidRDefault="00797772" w:rsidP="00AB7D74">
            <w:pPr>
              <w:spacing w:line="276" w:lineRule="auto"/>
              <w:jc w:val="left"/>
              <w:rPr>
                <w:rFonts w:ascii="仿宋" w:eastAsia="仿宋" w:hAnsi="仿宋" w:cs="宋体"/>
                <w:sz w:val="24"/>
                <w:szCs w:val="28"/>
              </w:rPr>
            </w:pPr>
            <w:r w:rsidRPr="00E52912">
              <w:rPr>
                <w:rFonts w:ascii="仿宋" w:eastAsia="仿宋" w:hAnsi="仿宋" w:cs="宋体" w:hint="eastAsia"/>
                <w:sz w:val="24"/>
                <w:szCs w:val="28"/>
              </w:rPr>
              <w:t>有ISO9001:2008或ISO9001:2015得2分，无0分。</w:t>
            </w:r>
          </w:p>
        </w:tc>
        <w:tc>
          <w:tcPr>
            <w:tcW w:w="1985" w:type="dxa"/>
            <w:vAlign w:val="center"/>
          </w:tcPr>
          <w:p w:rsidR="00797772" w:rsidRPr="00E52912" w:rsidRDefault="00797772" w:rsidP="00AB7D74">
            <w:pPr>
              <w:spacing w:line="276" w:lineRule="auto"/>
              <w:jc w:val="center"/>
              <w:rPr>
                <w:rFonts w:ascii="仿宋" w:eastAsia="仿宋" w:hAnsi="仿宋" w:cs="宋体"/>
                <w:sz w:val="24"/>
                <w:szCs w:val="28"/>
              </w:rPr>
            </w:pPr>
            <w:r w:rsidRPr="00E52912">
              <w:rPr>
                <w:rFonts w:ascii="仿宋" w:eastAsia="仿宋" w:hAnsi="仿宋" w:cs="华文仿宋" w:hint="eastAsia"/>
                <w:sz w:val="24"/>
                <w:szCs w:val="28"/>
              </w:rPr>
              <w:t>ISO9001:2008/2015质量认证体系2分</w:t>
            </w:r>
          </w:p>
        </w:tc>
        <w:tc>
          <w:tcPr>
            <w:tcW w:w="850" w:type="dxa"/>
          </w:tcPr>
          <w:p w:rsidR="00797772" w:rsidRPr="00E52912" w:rsidRDefault="00797772" w:rsidP="00AB7D74">
            <w:pPr>
              <w:spacing w:line="276" w:lineRule="auto"/>
              <w:jc w:val="center"/>
              <w:rPr>
                <w:rFonts w:ascii="仿宋" w:eastAsia="仿宋" w:hAnsi="仿宋" w:cs="华文仿宋"/>
                <w:sz w:val="24"/>
                <w:szCs w:val="28"/>
              </w:rPr>
            </w:pPr>
          </w:p>
        </w:tc>
      </w:tr>
    </w:tbl>
    <w:p w:rsidR="00CB17B8" w:rsidRDefault="00CB17B8"/>
    <w:sectPr w:rsidR="00CB17B8" w:rsidSect="0079777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0C" w:rsidRDefault="00BC5D0C" w:rsidP="001643F4">
      <w:r>
        <w:separator/>
      </w:r>
    </w:p>
  </w:endnote>
  <w:endnote w:type="continuationSeparator" w:id="0">
    <w:p w:rsidR="00BC5D0C" w:rsidRDefault="00BC5D0C" w:rsidP="00164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0C" w:rsidRDefault="00BC5D0C" w:rsidP="001643F4">
      <w:r>
        <w:separator/>
      </w:r>
    </w:p>
  </w:footnote>
  <w:footnote w:type="continuationSeparator" w:id="0">
    <w:p w:rsidR="00BC5D0C" w:rsidRDefault="00BC5D0C" w:rsidP="00164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7CBB"/>
    <w:multiLevelType w:val="multilevel"/>
    <w:tmpl w:val="22137C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943E3A"/>
    <w:multiLevelType w:val="singleLevel"/>
    <w:tmpl w:val="58943E3A"/>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772"/>
    <w:rsid w:val="00121199"/>
    <w:rsid w:val="001643F4"/>
    <w:rsid w:val="001A4D69"/>
    <w:rsid w:val="001F4242"/>
    <w:rsid w:val="00247654"/>
    <w:rsid w:val="0026002E"/>
    <w:rsid w:val="0036378B"/>
    <w:rsid w:val="00603125"/>
    <w:rsid w:val="00797772"/>
    <w:rsid w:val="007C779D"/>
    <w:rsid w:val="007D2177"/>
    <w:rsid w:val="00975598"/>
    <w:rsid w:val="00BC5D0C"/>
    <w:rsid w:val="00C06D40"/>
    <w:rsid w:val="00CB17B8"/>
    <w:rsid w:val="00CC07E5"/>
    <w:rsid w:val="00EA3F42"/>
    <w:rsid w:val="00EC7687"/>
    <w:rsid w:val="00ED5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43F4"/>
    <w:rPr>
      <w:rFonts w:ascii="Times New Roman" w:eastAsia="宋体" w:hAnsi="Times New Roman" w:cs="Times New Roman"/>
      <w:sz w:val="18"/>
      <w:szCs w:val="18"/>
    </w:rPr>
  </w:style>
  <w:style w:type="paragraph" w:styleId="a4">
    <w:name w:val="footer"/>
    <w:basedOn w:val="a"/>
    <w:link w:val="Char0"/>
    <w:uiPriority w:val="99"/>
    <w:semiHidden/>
    <w:unhideWhenUsed/>
    <w:rsid w:val="001643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43F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6</cp:revision>
  <cp:lastPrinted>2020-12-22T08:02:00Z</cp:lastPrinted>
  <dcterms:created xsi:type="dcterms:W3CDTF">2020-12-21T11:04:00Z</dcterms:created>
  <dcterms:modified xsi:type="dcterms:W3CDTF">2020-12-22T08:02:00Z</dcterms:modified>
</cp:coreProperties>
</file>