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44"/>
          <w:szCs w:val="44"/>
          <w:highlight w:val="none"/>
        </w:rPr>
      </w:pPr>
    </w:p>
    <w:p>
      <w:pPr>
        <w:rPr>
          <w:rFonts w:ascii="宋体" w:hAnsi="宋体" w:eastAsia="宋体" w:cs="宋体"/>
          <w:color w:val="000000" w:themeColor="text1"/>
          <w:sz w:val="44"/>
          <w:szCs w:val="44"/>
          <w:highlight w:val="none"/>
        </w:rPr>
      </w:pPr>
      <w:r>
        <w:rPr>
          <w:rFonts w:hint="eastAsia" w:ascii="宋体" w:hAnsi="宋体" w:eastAsia="宋体" w:cs="宋体"/>
          <w:color w:val="000000" w:themeColor="text1"/>
          <w:sz w:val="44"/>
          <w:szCs w:val="44"/>
          <w:highlight w:val="none"/>
        </w:rPr>
        <w:t>工程类招标代理公司：</w:t>
      </w:r>
    </w:p>
    <w:p>
      <w:pPr>
        <w:spacing w:line="360" w:lineRule="auto"/>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44"/>
          <w:szCs w:val="44"/>
          <w:highlight w:val="none"/>
        </w:rPr>
        <w:t>资格审核：</w:t>
      </w:r>
      <w:r>
        <w:rPr>
          <w:rFonts w:hint="eastAsia" w:ascii="宋体" w:hAnsi="宋体" w:eastAsia="宋体" w:cs="宋体"/>
          <w:color w:val="000000" w:themeColor="text1"/>
          <w:sz w:val="28"/>
          <w:szCs w:val="28"/>
          <w:highlight w:val="none"/>
          <w:lang w:val="en-US" w:eastAsia="zh-CN"/>
        </w:rPr>
        <w:t>曾获</w:t>
      </w:r>
      <w:r>
        <w:rPr>
          <w:rFonts w:hint="eastAsia" w:ascii="宋体" w:hAnsi="宋体" w:eastAsia="宋体" w:cs="宋体"/>
          <w:color w:val="000000" w:themeColor="text1"/>
          <w:sz w:val="28"/>
          <w:szCs w:val="28"/>
          <w:highlight w:val="none"/>
        </w:rPr>
        <w:t>工程招标代理</w:t>
      </w:r>
      <w:r>
        <w:rPr>
          <w:rFonts w:hint="eastAsia" w:ascii="宋体" w:hAnsi="宋体" w:eastAsia="宋体" w:cs="宋体"/>
          <w:color w:val="000000" w:themeColor="text1"/>
          <w:sz w:val="28"/>
          <w:szCs w:val="28"/>
          <w:highlight w:val="none"/>
          <w:lang w:val="en-US" w:eastAsia="zh-CN"/>
        </w:rPr>
        <w:t>甲</w:t>
      </w:r>
      <w:r>
        <w:rPr>
          <w:rFonts w:hint="eastAsia" w:ascii="宋体" w:hAnsi="宋体" w:eastAsia="宋体" w:cs="宋体"/>
          <w:color w:val="000000" w:themeColor="text1"/>
          <w:sz w:val="28"/>
          <w:szCs w:val="28"/>
          <w:highlight w:val="none"/>
        </w:rPr>
        <w:t>级资质的单位。</w:t>
      </w:r>
    </w:p>
    <w:p>
      <w:pPr>
        <w:spacing w:line="240" w:lineRule="atLeast"/>
        <w:rPr>
          <w:rFonts w:ascii="宋体" w:hAnsi="宋体" w:eastAsia="宋体" w:cs="宋体"/>
          <w:color w:val="000000" w:themeColor="text1"/>
          <w:sz w:val="44"/>
          <w:szCs w:val="44"/>
          <w:highlight w:val="none"/>
        </w:rPr>
      </w:pPr>
      <w:r>
        <w:rPr>
          <w:rFonts w:hint="eastAsia" w:ascii="宋体" w:hAnsi="宋体" w:eastAsia="宋体" w:cs="宋体"/>
          <w:color w:val="000000" w:themeColor="text1"/>
          <w:sz w:val="44"/>
          <w:szCs w:val="44"/>
          <w:highlight w:val="none"/>
        </w:rPr>
        <w:t>评分标准：</w:t>
      </w:r>
      <w:r>
        <w:rPr>
          <w:rFonts w:hint="eastAsia" w:ascii="宋体" w:hAnsi="宋体" w:eastAsia="宋体" w:cs="宋体"/>
          <w:color w:val="000000" w:themeColor="text1"/>
          <w:sz w:val="28"/>
          <w:szCs w:val="28"/>
          <w:highlight w:val="none"/>
        </w:rPr>
        <w:t>将商务得分、技术得分相加得出综合得分就是对该投标文件的评标结果。总分超过60分为比选合格单位（否则为不合格单位，即：不具备入围资格），评标委员会按综合得分高低次序排名，并推荐总分超过60分且排名在前5名的投标人为中标候选人。招标人按照评标委员会推荐的中标候选人排序依法确定入围单位。本项目投标人不得少于</w:t>
      </w:r>
      <w:r>
        <w:rPr>
          <w:rFonts w:hint="eastAsia" w:ascii="宋体" w:hAnsi="宋体" w:eastAsia="宋体" w:cs="宋体"/>
          <w:color w:val="000000" w:themeColor="text1"/>
          <w:sz w:val="28"/>
          <w:szCs w:val="28"/>
          <w:highlight w:val="none"/>
          <w:u w:val="single"/>
        </w:rPr>
        <w:t xml:space="preserve"> 5 </w:t>
      </w:r>
      <w:r>
        <w:rPr>
          <w:rFonts w:hint="eastAsia" w:ascii="宋体" w:hAnsi="宋体" w:eastAsia="宋体" w:cs="宋体"/>
          <w:color w:val="000000" w:themeColor="text1"/>
          <w:sz w:val="28"/>
          <w:szCs w:val="28"/>
          <w:highlight w:val="none"/>
        </w:rPr>
        <w:t>人，若入围投标人少于5人，则做废标处理，另择期再公示组织评分。若出现入围投标人分数相同则采用随机抽取的方式确定前5名入围投标人。</w:t>
      </w:r>
    </w:p>
    <w:p>
      <w:pPr>
        <w:spacing w:line="240" w:lineRule="atLeast"/>
        <w:ind w:firstLine="281" w:firstLineChars="100"/>
        <w:rPr>
          <w:rFonts w:ascii="宋体" w:hAnsi="宋体" w:eastAsia="宋体" w:cs="宋体"/>
          <w:b/>
          <w:color w:val="000000" w:themeColor="text1"/>
          <w:sz w:val="28"/>
          <w:szCs w:val="28"/>
          <w:highlight w:val="none"/>
        </w:rPr>
      </w:pPr>
      <w:r>
        <w:rPr>
          <w:rFonts w:hint="eastAsia" w:ascii="宋体" w:hAnsi="宋体" w:eastAsia="宋体" w:cs="宋体"/>
          <w:b/>
          <w:color w:val="000000" w:themeColor="text1"/>
          <w:sz w:val="28"/>
          <w:szCs w:val="28"/>
          <w:highlight w:val="none"/>
        </w:rPr>
        <w:t>（备注：由现场评标人员各自评分，取现场评标人员平均分作为综合得分）</w:t>
      </w:r>
    </w:p>
    <w:p>
      <w:pPr>
        <w:spacing w:line="360" w:lineRule="auto"/>
        <w:rPr>
          <w:rFonts w:ascii="宋体" w:hAnsi="宋体" w:eastAsia="宋体" w:cs="宋体"/>
          <w:color w:val="000000" w:themeColor="text1"/>
          <w:sz w:val="28"/>
          <w:szCs w:val="28"/>
          <w:highlight w:val="none"/>
        </w:rPr>
      </w:pPr>
    </w:p>
    <w:p>
      <w:pPr>
        <w:spacing w:line="360" w:lineRule="auto"/>
        <w:ind w:firstLine="560" w:firstLineChars="200"/>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①、价格因素，总分10分</w:t>
      </w:r>
    </w:p>
    <w:tbl>
      <w:tblPr>
        <w:tblStyle w:val="6"/>
        <w:tblW w:w="13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183"/>
        <w:gridCol w:w="192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56" w:type="dxa"/>
            <w:vAlign w:val="center"/>
          </w:tcPr>
          <w:p>
            <w:pPr>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序号</w:t>
            </w:r>
          </w:p>
        </w:tc>
        <w:tc>
          <w:tcPr>
            <w:tcW w:w="9183" w:type="dxa"/>
            <w:vAlign w:val="center"/>
          </w:tcPr>
          <w:p>
            <w:pPr>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评审项目</w:t>
            </w:r>
          </w:p>
        </w:tc>
        <w:tc>
          <w:tcPr>
            <w:tcW w:w="1925" w:type="dxa"/>
            <w:vAlign w:val="center"/>
          </w:tcPr>
          <w:p>
            <w:pPr>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满分</w:t>
            </w:r>
          </w:p>
        </w:tc>
        <w:tc>
          <w:tcPr>
            <w:tcW w:w="1134" w:type="dxa"/>
            <w:vAlign w:val="center"/>
          </w:tcPr>
          <w:p>
            <w:pPr>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56" w:type="dxa"/>
            <w:vAlign w:val="center"/>
          </w:tcPr>
          <w:p>
            <w:pPr>
              <w:ind w:firstLine="280" w:firstLineChars="100"/>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w:t>
            </w:r>
          </w:p>
        </w:tc>
        <w:tc>
          <w:tcPr>
            <w:tcW w:w="9183" w:type="dxa"/>
            <w:vAlign w:val="center"/>
          </w:tcPr>
          <w:p>
            <w:pPr>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投标单位应承诺“中标后，本年度招标代理服务费按照厦建价协〔2020〕05号文相关规定所列的收费标准计取招标代理服务费，最终以财政审核中心审定结果为准”无该承诺不得分。</w:t>
            </w:r>
          </w:p>
        </w:tc>
        <w:tc>
          <w:tcPr>
            <w:tcW w:w="1925" w:type="dxa"/>
            <w:vAlign w:val="center"/>
          </w:tcPr>
          <w:p>
            <w:pPr>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有则得10分，否则得0分。</w:t>
            </w:r>
          </w:p>
        </w:tc>
        <w:tc>
          <w:tcPr>
            <w:tcW w:w="1134" w:type="dxa"/>
          </w:tcPr>
          <w:p>
            <w:pPr>
              <w:jc w:val="center"/>
              <w:rPr>
                <w:rFonts w:ascii="宋体" w:hAnsi="宋体" w:eastAsia="宋体" w:cs="宋体"/>
                <w:color w:val="000000" w:themeColor="text1"/>
                <w:sz w:val="28"/>
                <w:szCs w:val="28"/>
                <w:highlight w:val="none"/>
              </w:rPr>
            </w:pPr>
          </w:p>
          <w:p>
            <w:pPr>
              <w:ind w:firstLine="280" w:firstLineChars="100"/>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10</w:t>
            </w:r>
          </w:p>
        </w:tc>
      </w:tr>
    </w:tbl>
    <w:p>
      <w:pPr>
        <w:spacing w:line="360" w:lineRule="auto"/>
        <w:rPr>
          <w:rFonts w:ascii="宋体" w:hAnsi="宋体" w:eastAsia="宋体" w:cs="宋体"/>
          <w:color w:val="000000" w:themeColor="text1"/>
          <w:sz w:val="28"/>
          <w:szCs w:val="28"/>
          <w:highlight w:val="none"/>
        </w:rPr>
      </w:pPr>
    </w:p>
    <w:p>
      <w:pPr>
        <w:spacing w:line="360" w:lineRule="auto"/>
        <w:ind w:firstLine="280" w:firstLineChars="100"/>
        <w:rPr>
          <w:rFonts w:ascii="宋体" w:hAnsi="宋体" w:eastAsia="宋体" w:cs="宋体"/>
          <w:color w:val="000000" w:themeColor="text1"/>
          <w:sz w:val="28"/>
          <w:szCs w:val="28"/>
          <w:highlight w:val="none"/>
        </w:rPr>
      </w:pPr>
    </w:p>
    <w:p>
      <w:pPr>
        <w:pStyle w:val="2"/>
        <w:numPr>
          <w:ilvl w:val="1"/>
          <w:numId w:val="0"/>
        </w:numPr>
        <w:rPr>
          <w:rFonts w:ascii="宋体" w:hAnsi="宋体" w:eastAsia="宋体" w:cs="宋体"/>
          <w:color w:val="000000" w:themeColor="text1"/>
          <w:sz w:val="28"/>
          <w:szCs w:val="28"/>
          <w:highlight w:val="none"/>
        </w:rPr>
      </w:pPr>
    </w:p>
    <w:p>
      <w:pPr>
        <w:spacing w:line="360" w:lineRule="auto"/>
        <w:ind w:firstLine="560" w:firstLineChars="200"/>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 xml:space="preserve">②、商务、技术因素，总分90分： </w:t>
      </w:r>
    </w:p>
    <w:tbl>
      <w:tblPr>
        <w:tblStyle w:val="6"/>
        <w:tblW w:w="13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0743"/>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312"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序号</w:t>
            </w:r>
          </w:p>
        </w:tc>
        <w:tc>
          <w:tcPr>
            <w:tcW w:w="10743"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评审项目</w:t>
            </w:r>
          </w:p>
        </w:tc>
        <w:tc>
          <w:tcPr>
            <w:tcW w:w="1603"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312"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2-1</w:t>
            </w:r>
          </w:p>
        </w:tc>
        <w:tc>
          <w:tcPr>
            <w:tcW w:w="10743" w:type="dxa"/>
            <w:vAlign w:val="center"/>
          </w:tcPr>
          <w:p>
            <w:pPr>
              <w:spacing w:line="360" w:lineRule="auto"/>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注册资本金300万以上得3分，每增加100万加1分，本项最多加至</w:t>
            </w:r>
            <w:r>
              <w:rPr>
                <w:rFonts w:hint="eastAsia" w:ascii="宋体" w:hAnsi="宋体" w:eastAsia="宋体" w:cs="宋体"/>
                <w:color w:val="000000" w:themeColor="text1"/>
                <w:sz w:val="28"/>
                <w:szCs w:val="28"/>
                <w:highlight w:val="none"/>
                <w:lang w:val="en-US" w:eastAsia="zh-CN"/>
              </w:rPr>
              <w:t>5</w:t>
            </w:r>
            <w:r>
              <w:rPr>
                <w:rFonts w:hint="eastAsia" w:ascii="宋体" w:hAnsi="宋体" w:eastAsia="宋体" w:cs="宋体"/>
                <w:color w:val="000000" w:themeColor="text1"/>
                <w:sz w:val="28"/>
                <w:szCs w:val="28"/>
                <w:highlight w:val="none"/>
              </w:rPr>
              <w:t>分。</w:t>
            </w:r>
          </w:p>
        </w:tc>
        <w:tc>
          <w:tcPr>
            <w:tcW w:w="1603"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312"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2-2</w:t>
            </w:r>
          </w:p>
        </w:tc>
        <w:tc>
          <w:tcPr>
            <w:tcW w:w="10743" w:type="dxa"/>
            <w:vAlign w:val="center"/>
          </w:tcPr>
          <w:p>
            <w:pPr>
              <w:spacing w:line="360" w:lineRule="auto"/>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响应供应商</w:t>
            </w:r>
            <w:r>
              <w:rPr>
                <w:rFonts w:hint="eastAsia" w:ascii="宋体" w:hAnsi="宋体" w:eastAsia="宋体" w:cs="宋体"/>
                <w:color w:val="000000" w:themeColor="text1"/>
                <w:sz w:val="28"/>
                <w:szCs w:val="28"/>
                <w:highlight w:val="none"/>
                <w:lang w:val="en-US" w:eastAsia="zh-CN"/>
              </w:rPr>
              <w:t>曾</w:t>
            </w:r>
            <w:r>
              <w:rPr>
                <w:rFonts w:hint="eastAsia" w:ascii="宋体" w:hAnsi="宋体" w:eastAsia="宋体" w:cs="宋体"/>
                <w:color w:val="000000" w:themeColor="text1"/>
                <w:sz w:val="28"/>
                <w:szCs w:val="28"/>
                <w:highlight w:val="none"/>
              </w:rPr>
              <w:t>获得造价咨询</w:t>
            </w:r>
            <w:r>
              <w:rPr>
                <w:rFonts w:hint="eastAsia" w:ascii="宋体" w:hAnsi="宋体" w:eastAsia="宋体" w:cs="宋体"/>
                <w:color w:val="000000" w:themeColor="text1"/>
                <w:sz w:val="28"/>
                <w:szCs w:val="28"/>
                <w:highlight w:val="none"/>
                <w:lang w:val="en-US" w:eastAsia="zh-CN"/>
              </w:rPr>
              <w:t>甲</w:t>
            </w:r>
            <w:r>
              <w:rPr>
                <w:rFonts w:hint="eastAsia" w:ascii="宋体" w:hAnsi="宋体" w:eastAsia="宋体" w:cs="宋体"/>
                <w:color w:val="000000" w:themeColor="text1"/>
                <w:sz w:val="28"/>
                <w:szCs w:val="28"/>
                <w:highlight w:val="none"/>
              </w:rPr>
              <w:t>级资质得5分，且在厦门设有分支机构（提供营业执照证明）；否则不得分。</w:t>
            </w:r>
          </w:p>
        </w:tc>
        <w:tc>
          <w:tcPr>
            <w:tcW w:w="1603"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312"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2-3</w:t>
            </w:r>
          </w:p>
        </w:tc>
        <w:tc>
          <w:tcPr>
            <w:tcW w:w="10743" w:type="dxa"/>
            <w:vAlign w:val="center"/>
          </w:tcPr>
          <w:p>
            <w:pPr>
              <w:spacing w:line="360" w:lineRule="auto"/>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响应供应商项目负责人具有高级工程师及以上职称且从事本行业工作10年以上的得5分；需提供开标前近三个月厦门社保缴交证明、身份证、职称证扫描件或复印件证明材料，否则不得分。</w:t>
            </w:r>
          </w:p>
        </w:tc>
        <w:tc>
          <w:tcPr>
            <w:tcW w:w="1603"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312"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2-4</w:t>
            </w:r>
          </w:p>
        </w:tc>
        <w:tc>
          <w:tcPr>
            <w:tcW w:w="10743" w:type="dxa"/>
            <w:vAlign w:val="center"/>
          </w:tcPr>
          <w:p>
            <w:pPr>
              <w:spacing w:line="360" w:lineRule="auto"/>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响应供应商配备的工程招标代理项目主办人员情况进行评价，项目主办人员具有中级工程师职称1名得基本分3分，每增加1人加3分，满分15分；以上人员需提供开标前近三个月厦门社保缴交证明、身份证、职称证扫描件或复印件证明材料，否则不得分。</w:t>
            </w:r>
          </w:p>
        </w:tc>
        <w:tc>
          <w:tcPr>
            <w:tcW w:w="1603"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312"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2-5</w:t>
            </w:r>
          </w:p>
        </w:tc>
        <w:tc>
          <w:tcPr>
            <w:tcW w:w="10743" w:type="dxa"/>
            <w:vAlign w:val="center"/>
          </w:tcPr>
          <w:p>
            <w:pPr>
              <w:spacing w:line="360" w:lineRule="auto"/>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响应供应商配备的工程招标代理经办人员具有招标代理从业人员培训证书，每人得2分，满分6分；以上人员需提供开标前近三个月厦门社保缴交证明、身份证、证书复印件证明材料，否则不得分。</w:t>
            </w:r>
          </w:p>
        </w:tc>
        <w:tc>
          <w:tcPr>
            <w:tcW w:w="1603"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1312"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2-6</w:t>
            </w:r>
          </w:p>
        </w:tc>
        <w:tc>
          <w:tcPr>
            <w:tcW w:w="10743" w:type="dxa"/>
            <w:vAlign w:val="center"/>
          </w:tcPr>
          <w:p>
            <w:pPr>
              <w:pStyle w:val="3"/>
              <w:spacing w:before="41" w:line="360" w:lineRule="auto"/>
              <w:ind w:left="0"/>
              <w:jc w:val="left"/>
              <w:rPr>
                <w:rFonts w:cs="宋体"/>
                <w:color w:val="000000" w:themeColor="text1"/>
                <w:sz w:val="28"/>
                <w:szCs w:val="28"/>
                <w:highlight w:val="none"/>
              </w:rPr>
            </w:pPr>
            <w:r>
              <w:rPr>
                <w:rFonts w:hint="eastAsia" w:cs="宋体"/>
                <w:color w:val="000000" w:themeColor="text1"/>
                <w:sz w:val="28"/>
                <w:szCs w:val="28"/>
                <w:highlight w:val="none"/>
              </w:rPr>
              <w:t>响应供应商提供的招标代理各阶段服务内容描述，包括项目各阶段服务质量、服务时间承诺和质量、时间保证制度进行评价：方案详细、具体、完整、合理可行、重点突出、可操作性强且有利于服务对象的得10分；方案较 详细具体，具有较强的可操作性，虽有缺漏，但能够把握重点、不影响项目 实施的得7分；方案存在缺漏，但基本满足项目实施需要的得3分，未提供或 不可行的不得分。</w:t>
            </w:r>
          </w:p>
        </w:tc>
        <w:tc>
          <w:tcPr>
            <w:tcW w:w="1603"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1312"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2-7</w:t>
            </w:r>
          </w:p>
        </w:tc>
        <w:tc>
          <w:tcPr>
            <w:tcW w:w="10743" w:type="dxa"/>
            <w:tcBorders>
              <w:bottom w:val="single" w:color="auto" w:sz="8" w:space="0"/>
            </w:tcBorders>
            <w:vAlign w:val="center"/>
          </w:tcPr>
          <w:p>
            <w:pPr>
              <w:spacing w:line="360" w:lineRule="auto"/>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响应供应商提供的招标代理重点、难点分析，以及对策及措施进行评 价：方案详细、具体、完整、合理可行、重点突出、可操作性强且有利于服 务对象的得10分；方案较详细具体，具有较强的可操作性，虽有缺漏，但能 够把握重点、不影响项目实施的得7分；方案存在缺漏，但基本满足项目实 施需要的得3分；未提供或不可行的不得分。</w:t>
            </w:r>
          </w:p>
        </w:tc>
        <w:tc>
          <w:tcPr>
            <w:tcW w:w="1603"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312" w:type="dxa"/>
            <w:tcBorders>
              <w:right w:val="single" w:color="auto" w:sz="8" w:space="0"/>
            </w:tcBorders>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2-8</w:t>
            </w:r>
          </w:p>
        </w:tc>
        <w:tc>
          <w:tcPr>
            <w:tcW w:w="10743" w:type="dxa"/>
            <w:tcBorders>
              <w:top w:val="single" w:color="auto" w:sz="8" w:space="0"/>
              <w:left w:val="single" w:color="auto" w:sz="8" w:space="0"/>
              <w:bottom w:val="single" w:color="auto" w:sz="8" w:space="0"/>
              <w:right w:val="single" w:color="auto" w:sz="8" w:space="0"/>
            </w:tcBorders>
            <w:vAlign w:val="center"/>
          </w:tcPr>
          <w:p>
            <w:pPr>
              <w:pStyle w:val="10"/>
              <w:spacing w:line="360" w:lineRule="auto"/>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响应供应商提供的招标代理服务的内容、服务流程与采购人协同工作内容进行描述：包括服务的内容、服务流程、采购人协同工作的工作流程进行评价：方案详细、具体、完整、合理可行、重点突出、可操作性强且有利于采购人的得10分；方案较详细具体，具有较强的可操作性，虽有缺漏，但能够把握重点、不影响项目实施的得7分；方案存在缺漏，但基本满足项目实施需要的得3分；未提供或不可行的不得分。</w:t>
            </w:r>
          </w:p>
        </w:tc>
        <w:tc>
          <w:tcPr>
            <w:tcW w:w="1603" w:type="dxa"/>
            <w:tcBorders>
              <w:left w:val="single" w:color="auto" w:sz="8" w:space="0"/>
            </w:tcBorders>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312"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2-9</w:t>
            </w:r>
          </w:p>
        </w:tc>
        <w:tc>
          <w:tcPr>
            <w:tcW w:w="10743" w:type="dxa"/>
            <w:tcBorders>
              <w:top w:val="single" w:color="auto" w:sz="8" w:space="0"/>
            </w:tcBorders>
            <w:vAlign w:val="center"/>
          </w:tcPr>
          <w:p>
            <w:pPr>
              <w:spacing w:line="360" w:lineRule="auto"/>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响应供应商获得质量管理体系认证（ISO9000）、中国职业健康安全管理体系认证、环境管理体系认证且认证在有效期限内的，提供有效证书复印件得2分；满分6分，否则不得分。</w:t>
            </w:r>
          </w:p>
        </w:tc>
        <w:tc>
          <w:tcPr>
            <w:tcW w:w="1603"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312"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2-10</w:t>
            </w:r>
          </w:p>
        </w:tc>
        <w:tc>
          <w:tcPr>
            <w:tcW w:w="10743" w:type="dxa"/>
            <w:vAlign w:val="center"/>
          </w:tcPr>
          <w:p>
            <w:pPr>
              <w:pStyle w:val="10"/>
              <w:spacing w:line="360" w:lineRule="auto"/>
              <w:ind w:left="175"/>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响应供应商提供 2018年至今（以合同签订时间为准）承接过主体投资2亿以上造价咨询项目，每提供一个业绩得 3分，满分9分。响应供应商需提供该业绩合同复印件（原件备查）；未提供业绩证明不得分。</w:t>
            </w:r>
          </w:p>
        </w:tc>
        <w:tc>
          <w:tcPr>
            <w:tcW w:w="1603"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312" w:type="dxa"/>
            <w:vAlign w:val="center"/>
          </w:tcPr>
          <w:p>
            <w:pPr>
              <w:spacing w:line="360" w:lineRule="auto"/>
              <w:jc w:val="cente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2-11</w:t>
            </w:r>
          </w:p>
        </w:tc>
        <w:tc>
          <w:tcPr>
            <w:tcW w:w="10743" w:type="dxa"/>
            <w:vAlign w:val="center"/>
          </w:tcPr>
          <w:p>
            <w:pPr>
              <w:spacing w:line="360" w:lineRule="auto"/>
              <w:jc w:val="left"/>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响应供应商注册地在</w:t>
            </w:r>
            <w:r>
              <w:rPr>
                <w:rFonts w:hint="eastAsia" w:ascii="宋体" w:hAnsi="宋体" w:eastAsia="宋体" w:cs="宋体"/>
                <w:color w:val="000000" w:themeColor="text1"/>
                <w:sz w:val="28"/>
                <w:szCs w:val="28"/>
                <w:highlight w:val="none"/>
                <w:lang w:val="en-US" w:eastAsia="zh-CN"/>
              </w:rPr>
              <w:t>厦门</w:t>
            </w:r>
            <w:r>
              <w:rPr>
                <w:rFonts w:hint="eastAsia" w:ascii="宋体" w:hAnsi="宋体" w:eastAsia="宋体" w:cs="宋体"/>
                <w:color w:val="000000" w:themeColor="text1"/>
                <w:sz w:val="28"/>
                <w:szCs w:val="28"/>
                <w:highlight w:val="none"/>
              </w:rPr>
              <w:t>的得6分，在厦门市</w:t>
            </w:r>
            <w:bookmarkStart w:id="0" w:name="_GoBack"/>
            <w:bookmarkEnd w:id="0"/>
            <w:r>
              <w:rPr>
                <w:rFonts w:hint="eastAsia" w:ascii="宋体" w:hAnsi="宋体" w:eastAsia="宋体" w:cs="宋体"/>
                <w:color w:val="000000" w:themeColor="text1"/>
                <w:sz w:val="28"/>
                <w:szCs w:val="28"/>
                <w:highlight w:val="none"/>
              </w:rPr>
              <w:t>设有分公司或办事处的得3分，需提供厦门工商营业执照及租赁合同佐证，否则不得分。</w:t>
            </w:r>
          </w:p>
        </w:tc>
        <w:tc>
          <w:tcPr>
            <w:tcW w:w="1603" w:type="dxa"/>
            <w:vAlign w:val="center"/>
          </w:tcPr>
          <w:p>
            <w:pPr>
              <w:spacing w:line="360" w:lineRule="auto"/>
              <w:jc w:val="center"/>
              <w:rPr>
                <w:rFonts w:ascii="宋体" w:hAnsi="宋体" w:eastAsia="宋体" w:cs="宋体"/>
                <w:color w:val="000000" w:themeColor="text1"/>
                <w:kern w:val="0"/>
                <w:sz w:val="28"/>
                <w:szCs w:val="28"/>
                <w:highlight w:val="none"/>
              </w:rPr>
            </w:pPr>
            <w:r>
              <w:rPr>
                <w:rFonts w:hint="eastAsia" w:ascii="宋体" w:hAnsi="宋体" w:eastAsia="宋体" w:cs="宋体"/>
                <w:color w:val="000000" w:themeColor="text1"/>
                <w:kern w:val="0"/>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312" w:type="dxa"/>
            <w:vAlign w:val="center"/>
          </w:tcPr>
          <w:p>
            <w:pPr>
              <w:spacing w:line="360" w:lineRule="auto"/>
              <w:jc w:val="center"/>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2-12</w:t>
            </w:r>
          </w:p>
        </w:tc>
        <w:tc>
          <w:tcPr>
            <w:tcW w:w="10743" w:type="dxa"/>
            <w:vAlign w:val="center"/>
          </w:tcPr>
          <w:p>
            <w:pPr>
              <w:spacing w:line="360" w:lineRule="auto"/>
              <w:jc w:val="left"/>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在2021年度招标代理或造价咨询专项检查中受到表扬的得3分。</w:t>
            </w:r>
          </w:p>
        </w:tc>
        <w:tc>
          <w:tcPr>
            <w:tcW w:w="1603" w:type="dxa"/>
            <w:vAlign w:val="center"/>
          </w:tcPr>
          <w:p>
            <w:pPr>
              <w:spacing w:line="360" w:lineRule="auto"/>
              <w:jc w:val="center"/>
              <w:rPr>
                <w:rFonts w:hint="eastAsia" w:ascii="宋体" w:hAnsi="宋体" w:eastAsia="宋体" w:cs="宋体"/>
                <w:color w:val="000000" w:themeColor="text1"/>
                <w:kern w:val="0"/>
                <w:sz w:val="28"/>
                <w:szCs w:val="28"/>
                <w:highlight w:val="none"/>
              </w:rPr>
            </w:pPr>
            <w:r>
              <w:rPr>
                <w:rFonts w:hint="eastAsia" w:ascii="宋体" w:hAnsi="宋体" w:eastAsia="宋体" w:cs="宋体"/>
                <w:color w:val="000000" w:themeColor="text1"/>
                <w:kern w:val="0"/>
                <w:sz w:val="28"/>
                <w:szCs w:val="28"/>
                <w:highlight w:val="none"/>
              </w:rPr>
              <w:t>3</w:t>
            </w:r>
          </w:p>
        </w:tc>
      </w:tr>
    </w:tbl>
    <w:p>
      <w:pPr>
        <w:rPr>
          <w:rFonts w:ascii="宋体" w:hAnsi="宋体" w:eastAsia="宋体" w:cs="宋体"/>
          <w:color w:val="000000" w:themeColor="text1"/>
          <w:sz w:val="28"/>
          <w:szCs w:val="28"/>
          <w:highlight w:val="none"/>
        </w:rPr>
      </w:pPr>
    </w:p>
    <w:sectPr>
      <w:pgSz w:w="16838" w:h="11906" w:orient="landscape"/>
      <w:pgMar w:top="709"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0B2565"/>
    <w:multiLevelType w:val="multilevel"/>
    <w:tmpl w:val="1F0B2565"/>
    <w:lvl w:ilvl="0" w:tentative="0">
      <w:start w:val="1"/>
      <w:numFmt w:val="decimal"/>
      <w:lvlText w:val="%1"/>
      <w:lvlJc w:val="left"/>
      <w:pPr>
        <w:ind w:left="284" w:hanging="284"/>
      </w:pPr>
      <w:rPr>
        <w:rFonts w:hint="eastAsia"/>
      </w:rPr>
    </w:lvl>
    <w:lvl w:ilvl="1" w:tentative="0">
      <w:start w:val="1"/>
      <w:numFmt w:val="decimal"/>
      <w:pStyle w:val="2"/>
      <w:lvlText w:val="%1.%2"/>
      <w:lvlJc w:val="left"/>
      <w:pPr>
        <w:ind w:left="482" w:hanging="482"/>
      </w:pPr>
      <w:rPr>
        <w:rFonts w:hint="eastAsia"/>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794" w:hanging="794"/>
      </w:pPr>
      <w:rPr>
        <w:rFonts w:hint="eastAsia"/>
      </w:rPr>
    </w:lvl>
    <w:lvl w:ilvl="4" w:tentative="0">
      <w:start w:val="1"/>
      <w:numFmt w:val="chineseCountingThousand"/>
      <w:lvlText w:val="%5、"/>
      <w:lvlJc w:val="left"/>
      <w:pPr>
        <w:ind w:left="612" w:hanging="512"/>
      </w:pPr>
      <w:rPr>
        <w:rFonts w:hint="eastAsia"/>
      </w:rPr>
    </w:lvl>
    <w:lvl w:ilvl="5" w:tentative="0">
      <w:start w:val="1"/>
      <w:numFmt w:val="chineseCountingThousand"/>
      <w:lvlText w:val="(%6)"/>
      <w:lvlJc w:val="left"/>
      <w:pPr>
        <w:ind w:left="680" w:hanging="476"/>
      </w:pPr>
      <w:rPr>
        <w:rFonts w:hint="eastAsia"/>
      </w:rPr>
    </w:lvl>
    <w:lvl w:ilvl="6" w:tentative="0">
      <w:start w:val="1"/>
      <w:numFmt w:val="decimal"/>
      <w:lvlText w:val="(%7)"/>
      <w:lvlJc w:val="left"/>
      <w:pPr>
        <w:ind w:left="680" w:hanging="380"/>
      </w:pPr>
      <w:rPr>
        <w:rFonts w:hint="eastAsia"/>
      </w:rPr>
    </w:lvl>
    <w:lvl w:ilvl="7" w:tentative="0">
      <w:start w:val="1"/>
      <w:numFmt w:val="lowerLetter"/>
      <w:lvlText w:val="(%8)"/>
      <w:lvlJc w:val="left"/>
      <w:pPr>
        <w:ind w:left="737" w:hanging="337"/>
      </w:pPr>
      <w:rPr>
        <w:rFonts w:hint="eastAsia"/>
      </w:rPr>
    </w:lvl>
    <w:lvl w:ilvl="8" w:tentative="0">
      <w:start w:val="1"/>
      <w:numFmt w:val="bullet"/>
      <w:lvlText w:val=""/>
      <w:lvlJc w:val="left"/>
      <w:pPr>
        <w:ind w:left="737" w:hanging="237"/>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4BC6"/>
    <w:rsid w:val="00125861"/>
    <w:rsid w:val="001F4242"/>
    <w:rsid w:val="0026002E"/>
    <w:rsid w:val="0036378B"/>
    <w:rsid w:val="003917E2"/>
    <w:rsid w:val="0039468C"/>
    <w:rsid w:val="003A086F"/>
    <w:rsid w:val="00471109"/>
    <w:rsid w:val="00527580"/>
    <w:rsid w:val="005466CD"/>
    <w:rsid w:val="00616FE2"/>
    <w:rsid w:val="0062685A"/>
    <w:rsid w:val="006A5F3A"/>
    <w:rsid w:val="00751D81"/>
    <w:rsid w:val="00763BB0"/>
    <w:rsid w:val="00975598"/>
    <w:rsid w:val="009F6E23"/>
    <w:rsid w:val="00AD48EE"/>
    <w:rsid w:val="00AF080A"/>
    <w:rsid w:val="00AF1C9E"/>
    <w:rsid w:val="00AF36E7"/>
    <w:rsid w:val="00B34BC6"/>
    <w:rsid w:val="00B628FD"/>
    <w:rsid w:val="00C0729E"/>
    <w:rsid w:val="00C3100C"/>
    <w:rsid w:val="00CA367E"/>
    <w:rsid w:val="00CB17B8"/>
    <w:rsid w:val="00E10E3F"/>
    <w:rsid w:val="00E703C7"/>
    <w:rsid w:val="00E70D54"/>
    <w:rsid w:val="00F42041"/>
    <w:rsid w:val="00FB5D36"/>
    <w:rsid w:val="00FD2E37"/>
    <w:rsid w:val="01836952"/>
    <w:rsid w:val="01B2400A"/>
    <w:rsid w:val="01C40DDD"/>
    <w:rsid w:val="02F17A7F"/>
    <w:rsid w:val="03C36E72"/>
    <w:rsid w:val="06B807E5"/>
    <w:rsid w:val="06D96F39"/>
    <w:rsid w:val="076F4E5C"/>
    <w:rsid w:val="077F7970"/>
    <w:rsid w:val="08000695"/>
    <w:rsid w:val="0813031E"/>
    <w:rsid w:val="0C060244"/>
    <w:rsid w:val="0C675B20"/>
    <w:rsid w:val="0CC86915"/>
    <w:rsid w:val="0DBC0BBA"/>
    <w:rsid w:val="0EFF069F"/>
    <w:rsid w:val="0F62260B"/>
    <w:rsid w:val="116A3294"/>
    <w:rsid w:val="12816876"/>
    <w:rsid w:val="143A7247"/>
    <w:rsid w:val="1772678E"/>
    <w:rsid w:val="19114E1F"/>
    <w:rsid w:val="203B492A"/>
    <w:rsid w:val="223C21B6"/>
    <w:rsid w:val="2325670C"/>
    <w:rsid w:val="2536643F"/>
    <w:rsid w:val="28D044FA"/>
    <w:rsid w:val="2A5C3FEA"/>
    <w:rsid w:val="2CF717B7"/>
    <w:rsid w:val="2D2F1F95"/>
    <w:rsid w:val="2EED3A57"/>
    <w:rsid w:val="2F141827"/>
    <w:rsid w:val="345B262C"/>
    <w:rsid w:val="359C3C10"/>
    <w:rsid w:val="3600523D"/>
    <w:rsid w:val="36935099"/>
    <w:rsid w:val="371371EE"/>
    <w:rsid w:val="384D572F"/>
    <w:rsid w:val="398268AC"/>
    <w:rsid w:val="3ABF0A0E"/>
    <w:rsid w:val="3C1F03E3"/>
    <w:rsid w:val="3C495460"/>
    <w:rsid w:val="3E43485C"/>
    <w:rsid w:val="3E4F1245"/>
    <w:rsid w:val="3E8C2543"/>
    <w:rsid w:val="4511278C"/>
    <w:rsid w:val="47961EA1"/>
    <w:rsid w:val="47F31792"/>
    <w:rsid w:val="48AF0F60"/>
    <w:rsid w:val="4F604B42"/>
    <w:rsid w:val="4FDD5E74"/>
    <w:rsid w:val="4FFE156B"/>
    <w:rsid w:val="507B24B3"/>
    <w:rsid w:val="5328631A"/>
    <w:rsid w:val="553A16CD"/>
    <w:rsid w:val="55491F4F"/>
    <w:rsid w:val="59B86688"/>
    <w:rsid w:val="59F0136E"/>
    <w:rsid w:val="5A9E1BA8"/>
    <w:rsid w:val="5AEB20AC"/>
    <w:rsid w:val="5BF613C2"/>
    <w:rsid w:val="5E4B4C29"/>
    <w:rsid w:val="5EDB45A9"/>
    <w:rsid w:val="60232B9C"/>
    <w:rsid w:val="60392520"/>
    <w:rsid w:val="621C046D"/>
    <w:rsid w:val="63D23DE5"/>
    <w:rsid w:val="6644245E"/>
    <w:rsid w:val="66B47C99"/>
    <w:rsid w:val="679C6FDC"/>
    <w:rsid w:val="693A198C"/>
    <w:rsid w:val="6B1377AF"/>
    <w:rsid w:val="6B1A048F"/>
    <w:rsid w:val="6EC922AC"/>
    <w:rsid w:val="719B650A"/>
    <w:rsid w:val="72943802"/>
    <w:rsid w:val="7381207C"/>
    <w:rsid w:val="75431965"/>
    <w:rsid w:val="779076B9"/>
    <w:rsid w:val="791B4B57"/>
    <w:rsid w:val="797B7075"/>
    <w:rsid w:val="79B0209F"/>
    <w:rsid w:val="7B7B492E"/>
    <w:rsid w:val="7DFD5866"/>
    <w:rsid w:val="7E1525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numPr>
        <w:ilvl w:val="1"/>
        <w:numId w:val="1"/>
      </w:numPr>
      <w:spacing w:line="360" w:lineRule="auto"/>
      <w:outlineLvl w:val="1"/>
    </w:pPr>
    <w:rPr>
      <w:rFonts w:eastAsia="黑体"/>
      <w:bCs/>
      <w:sz w:val="30"/>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268"/>
    </w:pPr>
    <w:rPr>
      <w:rFonts w:ascii="宋体" w:hAnsi="宋体" w:eastAsia="宋体"/>
      <w:szCs w:val="21"/>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256</Words>
  <Characters>1464</Characters>
  <Lines>12</Lines>
  <Paragraphs>3</Paragraphs>
  <TotalTime>25</TotalTime>
  <ScaleCrop>false</ScaleCrop>
  <LinksUpToDate>false</LinksUpToDate>
  <CharactersWithSpaces>1717</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2020-12-21T10:22:00Z</dcterms:created>
  <dc:creator>yan</dc:creator>
  <cp:lastModifiedBy>Administrator</cp:lastModifiedBy>
  <dcterms:modified xsi:type="dcterms:W3CDTF">2022-03-01T09:48:01Z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DB110A8344E34EBBAAF822EC1C6B4F4F</vt:lpwstr>
  </property>
</Properties>
</file>