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E0" w:rsidRDefault="004423E0" w:rsidP="004423E0">
      <w:pPr>
        <w:pStyle w:val="2"/>
        <w:numPr>
          <w:ilvl w:val="0"/>
          <w:numId w:val="0"/>
        </w:numPr>
        <w:spacing w:before="326" w:after="326"/>
        <w:jc w:val="center"/>
        <w:rPr>
          <w:rFonts w:ascii="宋体" w:eastAsia="宋体" w:hAnsi="宋体" w:cs="宋体" w:hint="eastAsia"/>
          <w:sz w:val="32"/>
          <w:szCs w:val="32"/>
        </w:rPr>
      </w:pPr>
      <w:bookmarkStart w:id="0" w:name="_Toc80186933"/>
      <w:bookmarkStart w:id="1" w:name="_Toc6727"/>
      <w:bookmarkStart w:id="2" w:name="_Toc474317473"/>
      <w:bookmarkStart w:id="3" w:name="_Toc18753"/>
      <w:bookmarkStart w:id="4" w:name="_Toc80186010"/>
      <w:r>
        <w:rPr>
          <w:rFonts w:ascii="宋体" w:eastAsia="宋体" w:hAnsi="宋体" w:cs="宋体" w:hint="eastAsia"/>
          <w:sz w:val="32"/>
          <w:szCs w:val="32"/>
        </w:rPr>
        <w:t>合同管理系统采购项目需求</w:t>
      </w:r>
    </w:p>
    <w:p w:rsidR="003D39E8" w:rsidRPr="004423E0" w:rsidRDefault="004423E0" w:rsidP="004423E0">
      <w:pPr>
        <w:pStyle w:val="2"/>
        <w:numPr>
          <w:ilvl w:val="0"/>
          <w:numId w:val="0"/>
        </w:numPr>
        <w:spacing w:before="326" w:after="326"/>
        <w:rPr>
          <w:rFonts w:ascii="宋体" w:eastAsia="宋体" w:hAnsi="宋体" w:cs="宋体"/>
          <w:sz w:val="28"/>
          <w:szCs w:val="28"/>
        </w:rPr>
      </w:pPr>
      <w:r w:rsidRPr="004423E0">
        <w:rPr>
          <w:rFonts w:ascii="宋体" w:eastAsia="宋体" w:hAnsi="宋体" w:cs="宋体" w:hint="eastAsia"/>
          <w:sz w:val="28"/>
          <w:szCs w:val="28"/>
        </w:rPr>
        <w:t>一、</w:t>
      </w:r>
      <w:r w:rsidR="00A800DE" w:rsidRPr="004423E0">
        <w:rPr>
          <w:rFonts w:ascii="宋体" w:eastAsia="宋体" w:hAnsi="宋体" w:cs="宋体" w:hint="eastAsia"/>
          <w:sz w:val="28"/>
          <w:szCs w:val="28"/>
        </w:rPr>
        <w:t>合同</w:t>
      </w:r>
      <w:bookmarkEnd w:id="0"/>
      <w:bookmarkEnd w:id="1"/>
      <w:bookmarkEnd w:id="2"/>
      <w:bookmarkEnd w:id="3"/>
      <w:bookmarkEnd w:id="4"/>
      <w:r w:rsidR="00A800DE" w:rsidRPr="004423E0">
        <w:rPr>
          <w:rFonts w:ascii="宋体" w:eastAsia="宋体" w:hAnsi="宋体" w:cs="宋体" w:hint="eastAsia"/>
          <w:sz w:val="28"/>
          <w:szCs w:val="28"/>
        </w:rPr>
        <w:t>管理建设背景</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合同在医院日常业务流转起着非常重要的作用，合同工作涉及重要决策的合规审批、日常业务的风险预警、合同履约、变更、终止、归档等多个方面。近几年来医院所面临的法律风险逐步加大，影响了医院的日常业务开展与健康长远发展；因此，加强对医院内部的合同风险防范管理，降低医院的内控风险显得尤为重要。</w:t>
      </w:r>
    </w:p>
    <w:p w:rsidR="003D39E8" w:rsidRPr="004423E0" w:rsidRDefault="00A800DE" w:rsidP="004423E0">
      <w:pPr>
        <w:pStyle w:val="2"/>
        <w:numPr>
          <w:ilvl w:val="0"/>
          <w:numId w:val="5"/>
        </w:numPr>
        <w:spacing w:before="326" w:after="326"/>
        <w:rPr>
          <w:rFonts w:ascii="宋体" w:eastAsia="宋体" w:hAnsi="宋体" w:cs="宋体"/>
          <w:sz w:val="28"/>
          <w:szCs w:val="28"/>
        </w:rPr>
      </w:pPr>
      <w:bookmarkStart w:id="5" w:name="_Toc2188"/>
      <w:bookmarkStart w:id="6" w:name="_Toc12970"/>
      <w:bookmarkStart w:id="7" w:name="_Toc80186011"/>
      <w:bookmarkStart w:id="8" w:name="_Toc474317474"/>
      <w:bookmarkStart w:id="9" w:name="_Toc80186934"/>
      <w:r w:rsidRPr="004423E0">
        <w:rPr>
          <w:rFonts w:ascii="宋体" w:eastAsia="宋体" w:hAnsi="宋体" w:cs="宋体" w:hint="eastAsia"/>
          <w:sz w:val="28"/>
          <w:szCs w:val="28"/>
        </w:rPr>
        <w:t>合同</w:t>
      </w:r>
      <w:bookmarkEnd w:id="5"/>
      <w:bookmarkEnd w:id="6"/>
      <w:bookmarkEnd w:id="7"/>
      <w:bookmarkEnd w:id="8"/>
      <w:bookmarkEnd w:id="9"/>
      <w:r w:rsidRPr="004423E0">
        <w:rPr>
          <w:rFonts w:ascii="宋体" w:eastAsia="宋体" w:hAnsi="宋体" w:cs="宋体" w:hint="eastAsia"/>
          <w:sz w:val="28"/>
          <w:szCs w:val="28"/>
        </w:rPr>
        <w:t>管理建设规划</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通过现代化医院管理理念和信息技术全面结合，将合同相关流程实现信息化。建设合同管理相关模块，从而建立医院统一的合同事务管理系统，满足医院经营管理需要。建立起与业务融合的合同风险防控体系。</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合同横向业务过程化、纵向业务全过程监控，实现合同预审、起草、审批、</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签订、履行、变更、终止、归档、统计分析等合同全生命周期管理，实现与预算管理、</w:t>
      </w:r>
      <w:r>
        <w:rPr>
          <w:rFonts w:ascii="宋体" w:eastAsia="宋体" w:hAnsi="宋体" w:cs="宋体" w:hint="eastAsia"/>
          <w:color w:val="000000"/>
          <w:kern w:val="0"/>
          <w:sz w:val="21"/>
          <w:szCs w:val="21"/>
          <w:lang/>
        </w:rPr>
        <w:t>OA</w:t>
      </w:r>
      <w:r>
        <w:rPr>
          <w:rFonts w:ascii="宋体" w:eastAsia="宋体" w:hAnsi="宋体" w:cs="宋体" w:hint="eastAsia"/>
          <w:color w:val="000000"/>
          <w:kern w:val="0"/>
          <w:sz w:val="21"/>
          <w:szCs w:val="21"/>
          <w:lang/>
        </w:rPr>
        <w:t>系统之间的关联管理。</w:t>
      </w:r>
      <w:r>
        <w:rPr>
          <w:rFonts w:ascii="宋体" w:eastAsia="宋体" w:hAnsi="宋体" w:cs="宋体" w:hint="eastAsia"/>
          <w:color w:val="000000"/>
          <w:kern w:val="0"/>
          <w:sz w:val="21"/>
          <w:szCs w:val="21"/>
          <w:lang/>
        </w:rPr>
        <w:t xml:space="preserve"> </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通过合同预审、起草、审核管理，规范各类合同业务的审批流程、提升医院合同审核效率、实现法律风险事前防范；</w:t>
      </w:r>
      <w:r>
        <w:rPr>
          <w:rFonts w:ascii="宋体" w:eastAsia="宋体" w:hAnsi="宋体" w:cs="宋体" w:hint="eastAsia"/>
          <w:color w:val="000000"/>
          <w:kern w:val="0"/>
          <w:sz w:val="21"/>
          <w:szCs w:val="21"/>
          <w:lang/>
        </w:rPr>
        <w:t xml:space="preserve"> </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通过合同履行、变更、终止、合同纠纷管理加强医院经</w:t>
      </w:r>
      <w:r>
        <w:rPr>
          <w:rFonts w:ascii="宋体" w:eastAsia="宋体" w:hAnsi="宋体" w:cs="宋体" w:hint="eastAsia"/>
          <w:color w:val="000000"/>
          <w:kern w:val="0"/>
          <w:sz w:val="21"/>
          <w:szCs w:val="21"/>
          <w:lang/>
        </w:rPr>
        <w:t>营过程的在控能力，</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提升医院精细化管理水平、实现法律风险事中控制；</w:t>
      </w:r>
      <w:r>
        <w:rPr>
          <w:rFonts w:ascii="宋体" w:eastAsia="宋体" w:hAnsi="宋体" w:cs="宋体" w:hint="eastAsia"/>
          <w:color w:val="000000"/>
          <w:kern w:val="0"/>
          <w:sz w:val="21"/>
          <w:szCs w:val="21"/>
          <w:lang/>
        </w:rPr>
        <w:t xml:space="preserve"> </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通过合同预警以及数字化的合同统计分析管理提升经营决策的自我分析能力，实现法律风险的事后分析补救；通过信息化手段提升风险管控力度，满足医院合同数据的统计分析需求。</w:t>
      </w:r>
      <w:r>
        <w:rPr>
          <w:rFonts w:ascii="宋体" w:eastAsia="宋体" w:hAnsi="宋体" w:cs="宋体" w:hint="eastAsia"/>
          <w:color w:val="000000"/>
          <w:kern w:val="0"/>
          <w:sz w:val="21"/>
          <w:szCs w:val="21"/>
          <w:lang/>
        </w:rPr>
        <w:t xml:space="preserve"> </w:t>
      </w:r>
    </w:p>
    <w:p w:rsidR="003D39E8" w:rsidRDefault="00A800DE" w:rsidP="004423E0">
      <w:pPr>
        <w:pStyle w:val="aa"/>
        <w:ind w:firstLine="420"/>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为规范各项业务经营管理，提高工作效率，医院建立了多类业务管理信息系统，并开放了大量的系统间集成接口。为保障各项业务在各系统间能够顺畅执行、信息充分共享，合同管理系统需要具有良好的系统开放性与可扩展性，需要</w:t>
      </w:r>
      <w:r>
        <w:rPr>
          <w:rFonts w:ascii="宋体" w:eastAsia="宋体" w:hAnsi="宋体" w:cs="宋体" w:hint="eastAsia"/>
          <w:color w:val="000000"/>
          <w:kern w:val="0"/>
          <w:sz w:val="21"/>
          <w:szCs w:val="21"/>
          <w:lang/>
        </w:rPr>
        <w:t>OA</w:t>
      </w:r>
      <w:r>
        <w:rPr>
          <w:rFonts w:ascii="宋体" w:eastAsia="宋体" w:hAnsi="宋体" w:cs="宋体" w:hint="eastAsia"/>
          <w:color w:val="000000"/>
          <w:kern w:val="0"/>
          <w:sz w:val="21"/>
          <w:szCs w:val="21"/>
          <w:lang/>
        </w:rPr>
        <w:t>进行深度业务集成。合同管理系统需要基于现有的基础网络环境进行构建，并要</w:t>
      </w:r>
      <w:r>
        <w:rPr>
          <w:rFonts w:ascii="宋体" w:eastAsia="宋体" w:hAnsi="宋体" w:cs="宋体" w:hint="eastAsia"/>
          <w:color w:val="000000"/>
          <w:kern w:val="0"/>
          <w:sz w:val="21"/>
          <w:szCs w:val="21"/>
          <w:lang/>
        </w:rPr>
        <w:t>求纳入医院域控管理，支持医院域控网络环境下的访问。</w:t>
      </w:r>
    </w:p>
    <w:p w:rsidR="003D39E8" w:rsidRDefault="00A800DE">
      <w:pPr>
        <w:pStyle w:val="3"/>
        <w:numPr>
          <w:ilvl w:val="0"/>
          <w:numId w:val="0"/>
        </w:numPr>
      </w:pPr>
      <w:r>
        <w:rPr>
          <w:rFonts w:hint="eastAsia"/>
        </w:rPr>
        <w:t>2.1</w:t>
      </w:r>
      <w:r>
        <w:rPr>
          <w:rFonts w:hint="eastAsia"/>
        </w:rPr>
        <w:t>功能明细：</w:t>
      </w:r>
    </w:p>
    <w:tbl>
      <w:tblPr>
        <w:tblW w:w="5369" w:type="pct"/>
        <w:tblLayout w:type="fixed"/>
        <w:tblLook w:val="04A0"/>
      </w:tblPr>
      <w:tblGrid>
        <w:gridCol w:w="632"/>
        <w:gridCol w:w="1149"/>
        <w:gridCol w:w="1069"/>
        <w:gridCol w:w="6301"/>
      </w:tblGrid>
      <w:tr w:rsidR="003D39E8">
        <w:trPr>
          <w:trHeight w:val="291"/>
        </w:trPr>
        <w:tc>
          <w:tcPr>
            <w:tcW w:w="1557" w:type="pct"/>
            <w:gridSpan w:val="3"/>
            <w:tcBorders>
              <w:top w:val="single" w:sz="4" w:space="0" w:color="auto"/>
              <w:left w:val="single" w:sz="4" w:space="0" w:color="auto"/>
              <w:bottom w:val="single" w:sz="4" w:space="0" w:color="auto"/>
              <w:right w:val="single" w:sz="4" w:space="0" w:color="auto"/>
            </w:tcBorders>
            <w:shd w:val="clear" w:color="auto" w:fill="2F75B5"/>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分类</w:t>
            </w:r>
          </w:p>
        </w:tc>
        <w:tc>
          <w:tcPr>
            <w:tcW w:w="3442" w:type="pct"/>
            <w:tcBorders>
              <w:top w:val="single" w:sz="4" w:space="0" w:color="auto"/>
              <w:left w:val="single" w:sz="4" w:space="0" w:color="auto"/>
              <w:bottom w:val="single" w:sz="4" w:space="0" w:color="auto"/>
              <w:right w:val="single" w:sz="4" w:space="0" w:color="auto"/>
            </w:tcBorders>
            <w:shd w:val="clear" w:color="auto" w:fill="2F75B5"/>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功能概述</w:t>
            </w:r>
          </w:p>
        </w:tc>
      </w:tr>
      <w:tr w:rsidR="003D39E8">
        <w:trPr>
          <w:trHeight w:val="528"/>
        </w:trPr>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w:t>
            </w:r>
            <w:r>
              <w:rPr>
                <w:rFonts w:ascii="宋体" w:hAnsi="宋体" w:cs="宋体" w:hint="eastAsia"/>
                <w:color w:val="000000"/>
                <w:kern w:val="0"/>
                <w:sz w:val="21"/>
                <w:szCs w:val="21"/>
                <w:lang/>
              </w:rPr>
              <w:lastRenderedPageBreak/>
              <w:t>同管理</w:t>
            </w:r>
            <w:r>
              <w:rPr>
                <w:rFonts w:ascii="宋体" w:hAnsi="宋体" w:cs="宋体" w:hint="eastAsia"/>
                <w:color w:val="000000"/>
                <w:kern w:val="0"/>
                <w:sz w:val="21"/>
                <w:szCs w:val="21"/>
                <w:lang/>
              </w:rPr>
              <w:br/>
            </w:r>
            <w:r>
              <w:rPr>
                <w:rFonts w:ascii="宋体" w:hAnsi="宋体" w:cs="宋体" w:hint="eastAsia"/>
                <w:color w:val="000000"/>
                <w:kern w:val="0"/>
                <w:sz w:val="21"/>
                <w:szCs w:val="21"/>
                <w:lang/>
              </w:rPr>
              <w:t>基础应用</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lastRenderedPageBreak/>
              <w:t>基础数据</w:t>
            </w: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合同类型</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签署合同前，单位需要梳理需管理的合同分类，合同范本以及合同</w:t>
            </w:r>
            <w:r>
              <w:rPr>
                <w:rFonts w:ascii="宋体" w:hAnsi="宋体" w:cs="宋体" w:hint="eastAsia"/>
                <w:color w:val="000000"/>
                <w:kern w:val="0"/>
                <w:sz w:val="21"/>
                <w:szCs w:val="21"/>
                <w:lang/>
              </w:rPr>
              <w:lastRenderedPageBreak/>
              <w:t>签署等业务均会基于合同类型展开；</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合同类型至少包含：采购合同、销售合同、合作协议、工程合同等；</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合同区分：只有收款、只有付款、有收款也有付款、无收付款；</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合同唯一标识</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项目预审后，自动生成合同唯一标识，根据合同唯一标识生成二维码；唯一标识支持自定义设置</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合同主体</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我方签约单位若存在多个签约主体，可维护每个签约主体的管理单位，该单位人员发起签约时自动带出主体供选择。</w:t>
            </w:r>
          </w:p>
        </w:tc>
      </w:tr>
      <w:tr w:rsidR="003D39E8">
        <w:trPr>
          <w:trHeight w:val="111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相对方</w:t>
            </w: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相对方库</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维护签署合同的相对方信息，包括联系人、签约记录、开票收款记录等。</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合同签订</w:t>
            </w: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合同预审</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合同预审进入发起合同发起页面，填写合同基本信息字段后，即可发起审批</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智能校验</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支持在填写表单进程中实时校验规则库，提交时再次校验，不通过阻断提交或警示。</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OCR</w:t>
            </w:r>
            <w:r>
              <w:rPr>
                <w:rFonts w:ascii="宋体" w:hAnsi="宋体" w:cs="宋体" w:hint="eastAsia"/>
                <w:color w:val="000000"/>
                <w:kern w:val="0"/>
                <w:sz w:val="21"/>
                <w:szCs w:val="21"/>
                <w:lang/>
              </w:rPr>
              <w:t>文本比对</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审批全流程可多次进行文本比对，检查有无篡改。</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合同档案</w:t>
            </w: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合同档案</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合同审批以及签署流程结束后，即自动归档至合同档案表作为存档，支持手动录入</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合同支持生成二维码作为唯一标识，扫描后可以查询具体合同档案信息，可设置呈现内容</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合同档案至少包含如下信息：合同收入信息、合同支出信息、合同基本信息等</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支持查看合同的收款或付款计划的调整记录；</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支持查看合同补充、内容变更、状态变更的明细记录；</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支持在合同到期前（默认提前</w:t>
            </w:r>
            <w:r>
              <w:rPr>
                <w:rFonts w:ascii="宋体" w:hAnsi="宋体" w:cs="宋体" w:hint="eastAsia"/>
                <w:color w:val="000000"/>
                <w:kern w:val="0"/>
                <w:sz w:val="21"/>
                <w:szCs w:val="21"/>
                <w:lang/>
              </w:rPr>
              <w:t>30</w:t>
            </w:r>
            <w:r>
              <w:rPr>
                <w:rFonts w:ascii="宋体" w:hAnsi="宋体" w:cs="宋体" w:hint="eastAsia"/>
                <w:color w:val="000000"/>
                <w:kern w:val="0"/>
                <w:sz w:val="21"/>
                <w:szCs w:val="21"/>
                <w:lang/>
              </w:rPr>
              <w:t>个自然日）向合同经办人、执行人员发出即将到期的消息；</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支持在合同应收款、应付款日期临近（默认</w:t>
            </w:r>
            <w:r>
              <w:rPr>
                <w:rFonts w:ascii="宋体" w:hAnsi="宋体" w:cs="宋体" w:hint="eastAsia"/>
                <w:color w:val="000000"/>
                <w:kern w:val="0"/>
                <w:sz w:val="21"/>
                <w:szCs w:val="21"/>
                <w:lang/>
              </w:rPr>
              <w:t>7</w:t>
            </w:r>
            <w:r>
              <w:rPr>
                <w:rFonts w:ascii="宋体" w:hAnsi="宋体" w:cs="宋体" w:hint="eastAsia"/>
                <w:color w:val="000000"/>
                <w:kern w:val="0"/>
                <w:sz w:val="21"/>
                <w:szCs w:val="21"/>
                <w:lang/>
              </w:rPr>
              <w:t>个工作日）时向合同经办人、执行人员发出消息提醒。</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合同执行过程中，根据实际需要对合同状态进行变更（如“履行中”变更为“已终止”、“已解除”、“已中止”）</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合同履约</w:t>
            </w: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变更补充</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若合同履约过程中存在变更或补充，则可发起变更或补充流程，审批通过后会对合同档案做对应的修改。</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left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增补合同</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同一合同的增补签约，可选择原有合同或原有客户、原有项目进行关联，方便后续统计、触发等</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履约计划</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合同履约进程中，可维护履约计划，包括收款计划、付款计划、收货计划、发货计划、工期计划，可设置计划提醒，日期前会发系统消息通知到合同发起人</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合同收款</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合同收款发起，关联项目及合同，流程审批完成后，更新合同收款明细，支持二维码快速定位到收款单</w:t>
            </w:r>
          </w:p>
        </w:tc>
      </w:tr>
      <w:tr w:rsidR="003D39E8">
        <w:trPr>
          <w:trHeight w:val="276"/>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合同付款</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合同付款发起，关联项目及合同，流程审批完成后，更新合同付款明细，支持二维码快速定位到付款单</w:t>
            </w:r>
          </w:p>
        </w:tc>
      </w:tr>
      <w:tr w:rsidR="003D39E8">
        <w:trPr>
          <w:trHeight w:val="528"/>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风险管理</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合同在履行时，若出现风险，合同发起人或管理人员可进行风险上报，若风险已处理则可发起风险处理流程。</w:t>
            </w:r>
          </w:p>
        </w:tc>
      </w:tr>
      <w:tr w:rsidR="003D39E8">
        <w:trPr>
          <w:trHeight w:val="279"/>
        </w:trPr>
        <w:tc>
          <w:tcPr>
            <w:tcW w:w="3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3D39E8">
            <w:pPr>
              <w:widowControl/>
              <w:jc w:val="left"/>
              <w:textAlignment w:val="top"/>
              <w:rPr>
                <w:rFonts w:ascii="宋体" w:hAnsi="宋体" w:cs="宋体"/>
                <w:color w:val="000000"/>
                <w:kern w:val="0"/>
                <w:sz w:val="21"/>
                <w:szCs w:val="21"/>
                <w:lang/>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报表中心</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我的报表</w:t>
            </w:r>
          </w:p>
        </w:tc>
        <w:tc>
          <w:tcPr>
            <w:tcW w:w="3442" w:type="pct"/>
            <w:tcBorders>
              <w:top w:val="single" w:sz="4" w:space="0" w:color="auto"/>
              <w:left w:val="single" w:sz="4" w:space="0" w:color="auto"/>
              <w:bottom w:val="single" w:sz="4" w:space="0" w:color="auto"/>
              <w:right w:val="single" w:sz="4" w:space="0" w:color="auto"/>
            </w:tcBorders>
            <w:shd w:val="clear" w:color="auto" w:fill="auto"/>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统计各种类、各业务类别的合同情况、各部门经办的合同情况；</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统计本年度合同签约情况、本年实际合同付款与收款情况；</w:t>
            </w:r>
          </w:p>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统计本年度合同状态调整、变更情况；</w:t>
            </w:r>
          </w:p>
        </w:tc>
      </w:tr>
    </w:tbl>
    <w:p w:rsidR="003D39E8" w:rsidRDefault="003D39E8">
      <w:pPr>
        <w:pStyle w:val="aa"/>
        <w:ind w:firstLine="480"/>
        <w:rPr>
          <w:rFonts w:ascii="宋体" w:eastAsia="宋体" w:hAnsi="宋体" w:cs="宋体"/>
          <w:color w:val="000000" w:themeColor="text1"/>
        </w:rPr>
      </w:pPr>
    </w:p>
    <w:p w:rsidR="003D39E8" w:rsidRDefault="00A800DE">
      <w:pPr>
        <w:pStyle w:val="3"/>
        <w:numPr>
          <w:ilvl w:val="0"/>
          <w:numId w:val="0"/>
        </w:numPr>
      </w:pPr>
      <w:r>
        <w:rPr>
          <w:rFonts w:hint="eastAsia"/>
        </w:rPr>
        <w:t>2.2</w:t>
      </w:r>
      <w:r>
        <w:rPr>
          <w:rFonts w:hint="eastAsia"/>
        </w:rPr>
        <w:t>合同管理系统与甲方已使用的办公</w:t>
      </w:r>
      <w:r>
        <w:rPr>
          <w:rFonts w:hint="eastAsia"/>
        </w:rPr>
        <w:t>OA</w:t>
      </w:r>
      <w:r>
        <w:rPr>
          <w:rFonts w:hint="eastAsia"/>
        </w:rPr>
        <w:t>系统集成需求：</w:t>
      </w:r>
    </w:p>
    <w:tbl>
      <w:tblPr>
        <w:tblStyle w:val="TableNormal"/>
        <w:tblpPr w:leftFromText="180" w:rightFromText="180" w:vertAnchor="text" w:horzAnchor="page" w:tblpX="1694" w:tblpY="430"/>
        <w:tblOverlap w:val="never"/>
        <w:tblW w:w="913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94"/>
        <w:gridCol w:w="1450"/>
        <w:gridCol w:w="1189"/>
        <w:gridCol w:w="5399"/>
      </w:tblGrid>
      <w:tr w:rsidR="003D39E8">
        <w:trPr>
          <w:trHeight w:val="493"/>
        </w:trPr>
        <w:tc>
          <w:tcPr>
            <w:tcW w:w="1094" w:type="dxa"/>
            <w:tcBorders>
              <w:bottom w:val="single" w:sz="4" w:space="0" w:color="auto"/>
            </w:tcBorders>
            <w:shd w:val="clear" w:color="auto" w:fill="0070C0"/>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序号</w:t>
            </w:r>
          </w:p>
        </w:tc>
        <w:tc>
          <w:tcPr>
            <w:tcW w:w="1450" w:type="dxa"/>
            <w:tcBorders>
              <w:bottom w:val="single" w:sz="4" w:space="0" w:color="auto"/>
            </w:tcBorders>
            <w:shd w:val="clear" w:color="auto" w:fill="0070C0"/>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系统</w:t>
            </w:r>
          </w:p>
        </w:tc>
        <w:tc>
          <w:tcPr>
            <w:tcW w:w="1189" w:type="dxa"/>
            <w:tcBorders>
              <w:bottom w:val="single" w:sz="4" w:space="0" w:color="auto"/>
            </w:tcBorders>
            <w:shd w:val="clear" w:color="auto" w:fill="0070C0"/>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模块分类</w:t>
            </w:r>
          </w:p>
        </w:tc>
        <w:tc>
          <w:tcPr>
            <w:tcW w:w="5399" w:type="dxa"/>
            <w:tcBorders>
              <w:bottom w:val="single" w:sz="4" w:space="0" w:color="auto"/>
            </w:tcBorders>
            <w:shd w:val="clear" w:color="auto" w:fill="0070C0"/>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模块大类</w:t>
            </w:r>
          </w:p>
        </w:tc>
      </w:tr>
      <w:tr w:rsidR="003D39E8">
        <w:trPr>
          <w:trHeight w:val="473"/>
        </w:trPr>
        <w:tc>
          <w:tcPr>
            <w:tcW w:w="1094" w:type="dxa"/>
            <w:vMerge w:val="restart"/>
            <w:tcBorders>
              <w:top w:val="single" w:sz="4" w:space="0" w:color="auto"/>
              <w:left w:val="single" w:sz="4" w:space="0" w:color="auto"/>
              <w:bottom w:val="single" w:sz="4" w:space="0" w:color="auto"/>
              <w:right w:val="single" w:sz="4" w:space="0" w:color="auto"/>
            </w:tcBorders>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1</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合同管理系统集成改造</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系统集成</w:t>
            </w:r>
            <w:r>
              <w:rPr>
                <w:rFonts w:ascii="宋体" w:hAnsi="宋体" w:cs="宋体" w:hint="eastAsia"/>
                <w:color w:val="000000"/>
                <w:kern w:val="0"/>
                <w:sz w:val="21"/>
                <w:szCs w:val="21"/>
                <w:lang/>
              </w:rPr>
              <w:t xml:space="preserve"> </w:t>
            </w:r>
            <w:r>
              <w:rPr>
                <w:rFonts w:ascii="宋体" w:hAnsi="宋体" w:cs="宋体" w:hint="eastAsia"/>
                <w:color w:val="000000"/>
                <w:kern w:val="0"/>
                <w:sz w:val="21"/>
                <w:szCs w:val="21"/>
                <w:lang/>
              </w:rPr>
              <w:t>改造</w:t>
            </w:r>
          </w:p>
        </w:tc>
        <w:tc>
          <w:tcPr>
            <w:tcW w:w="5399" w:type="dxa"/>
            <w:tcBorders>
              <w:top w:val="single" w:sz="4" w:space="0" w:color="auto"/>
              <w:left w:val="single" w:sz="4" w:space="0" w:color="auto"/>
              <w:bottom w:val="single" w:sz="4" w:space="0" w:color="auto"/>
              <w:right w:val="single" w:sz="4" w:space="0" w:color="auto"/>
            </w:tcBorders>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系统可单点登录合同管理系统</w:t>
            </w:r>
          </w:p>
        </w:tc>
      </w:tr>
      <w:tr w:rsidR="003D39E8">
        <w:trPr>
          <w:trHeight w:val="473"/>
        </w:trPr>
        <w:tc>
          <w:tcPr>
            <w:tcW w:w="1094"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450"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189"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5399" w:type="dxa"/>
            <w:tcBorders>
              <w:top w:val="single" w:sz="4" w:space="0" w:color="auto"/>
              <w:left w:val="single" w:sz="4" w:space="0" w:color="auto"/>
              <w:bottom w:val="single" w:sz="4" w:space="0" w:color="auto"/>
              <w:right w:val="single" w:sz="4" w:space="0" w:color="auto"/>
            </w:tcBorders>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系统可接收合同系统推送消息</w:t>
            </w:r>
          </w:p>
        </w:tc>
      </w:tr>
      <w:tr w:rsidR="003D39E8">
        <w:trPr>
          <w:trHeight w:val="473"/>
        </w:trPr>
        <w:tc>
          <w:tcPr>
            <w:tcW w:w="1094"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450"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189"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5399" w:type="dxa"/>
            <w:tcBorders>
              <w:top w:val="single" w:sz="4" w:space="0" w:color="auto"/>
              <w:left w:val="single" w:sz="4" w:space="0" w:color="auto"/>
              <w:bottom w:val="single" w:sz="4" w:space="0" w:color="auto"/>
              <w:right w:val="single" w:sz="4" w:space="0" w:color="auto"/>
            </w:tcBorders>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合同系统触发相关审批消息推送到甲方已使用的办公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w:t>
            </w:r>
          </w:p>
        </w:tc>
      </w:tr>
      <w:tr w:rsidR="003D39E8">
        <w:trPr>
          <w:trHeight w:val="473"/>
        </w:trPr>
        <w:tc>
          <w:tcPr>
            <w:tcW w:w="1094"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450"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1189" w:type="dxa"/>
            <w:vMerge/>
            <w:tcBorders>
              <w:top w:val="single" w:sz="4" w:space="0" w:color="auto"/>
              <w:left w:val="single" w:sz="4" w:space="0" w:color="auto"/>
              <w:bottom w:val="single" w:sz="4" w:space="0" w:color="auto"/>
              <w:right w:val="single" w:sz="4" w:space="0" w:color="auto"/>
            </w:tcBorders>
          </w:tcPr>
          <w:p w:rsidR="003D39E8" w:rsidRDefault="003D39E8">
            <w:pPr>
              <w:widowControl/>
              <w:jc w:val="left"/>
              <w:textAlignment w:val="top"/>
              <w:rPr>
                <w:rFonts w:ascii="宋体" w:hAnsi="宋体" w:cs="宋体"/>
                <w:color w:val="000000"/>
                <w:kern w:val="0"/>
                <w:sz w:val="21"/>
                <w:szCs w:val="21"/>
                <w:lang/>
              </w:rPr>
            </w:pPr>
          </w:p>
        </w:tc>
        <w:tc>
          <w:tcPr>
            <w:tcW w:w="5399" w:type="dxa"/>
            <w:tcBorders>
              <w:top w:val="single" w:sz="4" w:space="0" w:color="auto"/>
              <w:left w:val="single" w:sz="4" w:space="0" w:color="auto"/>
              <w:bottom w:val="single" w:sz="4" w:space="0" w:color="auto"/>
              <w:right w:val="single" w:sz="4" w:space="0" w:color="auto"/>
            </w:tcBorders>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系统提供单点穿透连接</w:t>
            </w:r>
          </w:p>
        </w:tc>
      </w:tr>
      <w:tr w:rsidR="003D39E8">
        <w:trPr>
          <w:trHeight w:val="473"/>
        </w:trPr>
        <w:tc>
          <w:tcPr>
            <w:tcW w:w="9132" w:type="dxa"/>
            <w:gridSpan w:val="4"/>
            <w:tcBorders>
              <w:top w:val="single" w:sz="4" w:space="0" w:color="auto"/>
              <w:left w:val="single" w:sz="4" w:space="0" w:color="auto"/>
              <w:bottom w:val="single" w:sz="4" w:space="0" w:color="auto"/>
              <w:right w:val="single" w:sz="4" w:space="0" w:color="auto"/>
            </w:tcBorders>
          </w:tcPr>
          <w:p w:rsidR="003D39E8" w:rsidRDefault="00A800DE">
            <w:pPr>
              <w:widowControl/>
              <w:jc w:val="left"/>
              <w:textAlignment w:val="top"/>
              <w:rPr>
                <w:rFonts w:ascii="宋体" w:hAnsi="宋体" w:cs="宋体"/>
                <w:color w:val="000000"/>
                <w:kern w:val="0"/>
                <w:sz w:val="21"/>
                <w:szCs w:val="21"/>
                <w:lang/>
              </w:rPr>
            </w:pPr>
            <w:r>
              <w:rPr>
                <w:rFonts w:ascii="宋体" w:hAnsi="宋体" w:cs="宋体" w:hint="eastAsia"/>
                <w:color w:val="000000"/>
                <w:kern w:val="0"/>
                <w:sz w:val="21"/>
                <w:szCs w:val="21"/>
                <w:lang/>
              </w:rPr>
              <w:t>涉及审批流表单（包含但不限于）</w:t>
            </w:r>
            <w:r>
              <w:rPr>
                <w:rFonts w:ascii="宋体" w:hAnsi="宋体" w:cs="宋体" w:hint="eastAsia"/>
                <w:color w:val="000000"/>
                <w:kern w:val="0"/>
                <w:sz w:val="21"/>
                <w:szCs w:val="21"/>
                <w:lang/>
              </w:rPr>
              <w:t>：</w:t>
            </w:r>
            <w:r>
              <w:rPr>
                <w:rFonts w:ascii="宋体" w:hAnsi="宋体" w:cs="宋体" w:hint="eastAsia"/>
                <w:color w:val="000000"/>
                <w:kern w:val="0"/>
                <w:sz w:val="21"/>
                <w:szCs w:val="21"/>
                <w:lang/>
              </w:rPr>
              <w:t>项目预审流程</w:t>
            </w:r>
            <w:r>
              <w:rPr>
                <w:rFonts w:ascii="宋体" w:hAnsi="宋体" w:cs="宋体" w:hint="eastAsia"/>
                <w:color w:val="000000"/>
                <w:kern w:val="0"/>
                <w:sz w:val="21"/>
                <w:szCs w:val="21"/>
                <w:lang/>
              </w:rPr>
              <w:t>、</w:t>
            </w:r>
            <w:r>
              <w:rPr>
                <w:rFonts w:ascii="宋体" w:hAnsi="宋体" w:cs="宋体" w:hint="eastAsia"/>
                <w:color w:val="000000"/>
                <w:kern w:val="0"/>
                <w:sz w:val="21"/>
                <w:szCs w:val="21"/>
                <w:lang/>
              </w:rPr>
              <w:t>合同审批流程</w:t>
            </w:r>
            <w:r>
              <w:rPr>
                <w:rFonts w:ascii="宋体" w:hAnsi="宋体" w:cs="宋体" w:hint="eastAsia"/>
                <w:color w:val="000000"/>
                <w:kern w:val="0"/>
                <w:sz w:val="21"/>
                <w:szCs w:val="21"/>
                <w:lang/>
              </w:rPr>
              <w:t>、</w:t>
            </w:r>
            <w:r>
              <w:rPr>
                <w:rFonts w:ascii="宋体" w:hAnsi="宋体" w:cs="宋体" w:hint="eastAsia"/>
                <w:color w:val="000000"/>
                <w:kern w:val="0"/>
                <w:sz w:val="21"/>
                <w:szCs w:val="21"/>
                <w:lang/>
              </w:rPr>
              <w:t>项目验收流程</w:t>
            </w:r>
            <w:r>
              <w:rPr>
                <w:rFonts w:ascii="宋体" w:hAnsi="宋体" w:cs="宋体" w:hint="eastAsia"/>
                <w:color w:val="000000"/>
                <w:kern w:val="0"/>
                <w:sz w:val="21"/>
                <w:szCs w:val="21"/>
                <w:lang/>
              </w:rPr>
              <w:t>、</w:t>
            </w:r>
            <w:r>
              <w:rPr>
                <w:rFonts w:ascii="宋体" w:hAnsi="宋体" w:cs="宋体" w:hint="eastAsia"/>
                <w:color w:val="000000"/>
                <w:kern w:val="0"/>
                <w:sz w:val="21"/>
                <w:szCs w:val="21"/>
                <w:lang/>
              </w:rPr>
              <w:t>合同付款流程</w:t>
            </w:r>
            <w:r>
              <w:rPr>
                <w:rFonts w:ascii="宋体" w:hAnsi="宋体" w:cs="宋体" w:hint="eastAsia"/>
                <w:color w:val="000000"/>
                <w:kern w:val="0"/>
                <w:sz w:val="21"/>
                <w:szCs w:val="21"/>
                <w:lang/>
              </w:rPr>
              <w:t>、</w:t>
            </w:r>
            <w:r>
              <w:rPr>
                <w:rFonts w:ascii="宋体" w:hAnsi="宋体" w:cs="宋体" w:hint="eastAsia"/>
                <w:color w:val="000000"/>
                <w:kern w:val="0"/>
                <w:sz w:val="21"/>
                <w:szCs w:val="21"/>
                <w:lang/>
              </w:rPr>
              <w:t>合同收款流程</w:t>
            </w:r>
          </w:p>
        </w:tc>
      </w:tr>
    </w:tbl>
    <w:p w:rsidR="003D39E8" w:rsidRDefault="003D39E8">
      <w:pPr>
        <w:widowControl/>
        <w:jc w:val="left"/>
        <w:textAlignment w:val="top"/>
        <w:rPr>
          <w:rFonts w:ascii="宋体" w:hAnsi="宋体" w:cs="宋体"/>
          <w:color w:val="000000" w:themeColor="text1"/>
        </w:rPr>
      </w:pPr>
    </w:p>
    <w:p w:rsidR="003D39E8" w:rsidRDefault="003D39E8">
      <w:pPr>
        <w:pStyle w:val="aa"/>
        <w:ind w:firstLine="480"/>
        <w:rPr>
          <w:rFonts w:ascii="宋体" w:eastAsia="宋体" w:hAnsi="宋体" w:cs="宋体"/>
          <w:color w:val="000000" w:themeColor="text1"/>
        </w:rPr>
      </w:pPr>
    </w:p>
    <w:p w:rsidR="003D39E8" w:rsidRDefault="00A800DE">
      <w:pPr>
        <w:pStyle w:val="4"/>
        <w:rPr>
          <w:rFonts w:ascii="宋体" w:eastAsia="宋体" w:hAnsi="宋体" w:cs="宋体"/>
          <w:sz w:val="21"/>
          <w:szCs w:val="21"/>
        </w:rPr>
      </w:pPr>
      <w:r>
        <w:rPr>
          <w:rFonts w:ascii="宋体" w:eastAsia="宋体" w:hAnsi="宋体" w:cs="宋体" w:hint="eastAsia"/>
          <w:sz w:val="21"/>
          <w:szCs w:val="21"/>
        </w:rPr>
        <w:lastRenderedPageBreak/>
        <w:t>2.2.1</w:t>
      </w:r>
      <w:r>
        <w:rPr>
          <w:rFonts w:ascii="宋体" w:eastAsia="宋体" w:hAnsi="宋体" w:cs="宋体" w:hint="eastAsia"/>
          <w:sz w:val="21"/>
          <w:szCs w:val="21"/>
        </w:rPr>
        <w:t>预期集成效果如下：</w:t>
      </w:r>
    </w:p>
    <w:p w:rsidR="003D39E8" w:rsidRDefault="00A800DE">
      <w:pPr>
        <w:pStyle w:val="a0"/>
        <w:numPr>
          <w:ilvl w:val="0"/>
          <w:numId w:val="4"/>
        </w:numPr>
        <w:rPr>
          <w:rFonts w:ascii="宋体" w:hAnsi="宋体" w:cs="宋体"/>
          <w:sz w:val="21"/>
          <w:szCs w:val="21"/>
        </w:rPr>
      </w:pP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w:t>
      </w:r>
      <w:r>
        <w:rPr>
          <w:rFonts w:ascii="宋体" w:hAnsi="宋体" w:cs="宋体" w:hint="eastAsia"/>
          <w:sz w:val="21"/>
          <w:szCs w:val="21"/>
        </w:rPr>
        <w:t>可以直接单点登录到合同系统</w:t>
      </w:r>
    </w:p>
    <w:p w:rsidR="003D39E8" w:rsidRDefault="00A800DE">
      <w:pPr>
        <w:pStyle w:val="20"/>
        <w:numPr>
          <w:ilvl w:val="0"/>
          <w:numId w:val="4"/>
        </w:numPr>
        <w:rPr>
          <w:rFonts w:ascii="宋体" w:hAnsi="宋体" w:cs="宋体"/>
          <w:sz w:val="21"/>
          <w:szCs w:val="21"/>
        </w:rPr>
      </w:pPr>
      <w:r>
        <w:rPr>
          <w:rFonts w:ascii="宋体" w:hAnsi="宋体" w:cs="宋体" w:hint="eastAsia"/>
          <w:sz w:val="21"/>
          <w:szCs w:val="21"/>
        </w:rPr>
        <w:t>合同相关消息同步推送到</w:t>
      </w: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w:t>
      </w:r>
      <w:r>
        <w:rPr>
          <w:rFonts w:ascii="宋体" w:hAnsi="宋体" w:cs="宋体" w:hint="eastAsia"/>
          <w:sz w:val="21"/>
          <w:szCs w:val="21"/>
        </w:rPr>
        <w:t>的</w:t>
      </w:r>
      <w:r>
        <w:rPr>
          <w:rFonts w:ascii="宋体" w:hAnsi="宋体" w:cs="宋体" w:hint="eastAsia"/>
          <w:sz w:val="21"/>
          <w:szCs w:val="21"/>
        </w:rPr>
        <w:t>PC</w:t>
      </w:r>
      <w:r>
        <w:rPr>
          <w:rFonts w:ascii="宋体" w:hAnsi="宋体" w:cs="宋体" w:hint="eastAsia"/>
          <w:sz w:val="21"/>
          <w:szCs w:val="21"/>
        </w:rPr>
        <w:t>端、移动端</w:t>
      </w:r>
    </w:p>
    <w:p w:rsidR="003D39E8" w:rsidRDefault="00A800DE">
      <w:pPr>
        <w:pStyle w:val="a0"/>
        <w:numPr>
          <w:ilvl w:val="0"/>
          <w:numId w:val="4"/>
        </w:numPr>
        <w:rPr>
          <w:rFonts w:ascii="宋体" w:hAnsi="宋体" w:cs="宋体"/>
          <w:color w:val="000000"/>
          <w:kern w:val="0"/>
          <w:sz w:val="21"/>
          <w:szCs w:val="21"/>
          <w:lang/>
        </w:rPr>
      </w:pP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w:t>
      </w:r>
      <w:r>
        <w:rPr>
          <w:rFonts w:ascii="宋体" w:hAnsi="宋体" w:cs="宋体" w:hint="eastAsia"/>
          <w:sz w:val="21"/>
          <w:szCs w:val="21"/>
        </w:rPr>
        <w:t>的合同相关消息可直接穿透到合同管理系统进行处理，处理结果成功或者失败都推送消息至</w:t>
      </w:r>
      <w:r>
        <w:rPr>
          <w:rFonts w:ascii="宋体" w:hAnsi="宋体" w:cs="宋体" w:hint="eastAsia"/>
          <w:color w:val="000000"/>
          <w:kern w:val="0"/>
          <w:sz w:val="21"/>
          <w:szCs w:val="21"/>
          <w:lang/>
        </w:rPr>
        <w:t>甲方已使用的办公</w:t>
      </w:r>
      <w:r>
        <w:rPr>
          <w:rFonts w:ascii="宋体" w:hAnsi="宋体" w:cs="宋体" w:hint="eastAsia"/>
          <w:color w:val="000000"/>
          <w:kern w:val="0"/>
          <w:sz w:val="21"/>
          <w:szCs w:val="21"/>
          <w:lang/>
        </w:rPr>
        <w:t>OA</w:t>
      </w:r>
      <w:r>
        <w:rPr>
          <w:rFonts w:ascii="宋体" w:hAnsi="宋体" w:cs="宋体" w:hint="eastAsia"/>
          <w:color w:val="000000"/>
          <w:kern w:val="0"/>
          <w:sz w:val="21"/>
          <w:szCs w:val="21"/>
          <w:lang/>
        </w:rPr>
        <w:t>系统</w:t>
      </w:r>
    </w:p>
    <w:sectPr w:rsidR="003D39E8" w:rsidSect="003D3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DE" w:rsidRDefault="00A800DE">
      <w:pPr>
        <w:spacing w:line="240" w:lineRule="auto"/>
      </w:pPr>
      <w:r>
        <w:separator/>
      </w:r>
    </w:p>
  </w:endnote>
  <w:endnote w:type="continuationSeparator" w:id="0">
    <w:p w:rsidR="00A800DE" w:rsidRDefault="00A80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DE" w:rsidRDefault="00A800DE">
      <w:r>
        <w:separator/>
      </w:r>
    </w:p>
  </w:footnote>
  <w:footnote w:type="continuationSeparator" w:id="0">
    <w:p w:rsidR="00A800DE" w:rsidRDefault="00A80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91B18"/>
    <w:multiLevelType w:val="singleLevel"/>
    <w:tmpl w:val="84F91B18"/>
    <w:lvl w:ilvl="0">
      <w:start w:val="1"/>
      <w:numFmt w:val="chineseCounting"/>
      <w:suff w:val="nothing"/>
      <w:lvlText w:val="（%1）"/>
      <w:lvlJc w:val="left"/>
      <w:pPr>
        <w:ind w:left="0" w:firstLine="420"/>
      </w:pPr>
      <w:rPr>
        <w:rFonts w:hint="eastAsia"/>
      </w:rPr>
    </w:lvl>
  </w:abstractNum>
  <w:abstractNum w:abstractNumId="1">
    <w:nsid w:val="D9A6674E"/>
    <w:multiLevelType w:val="singleLevel"/>
    <w:tmpl w:val="D9A6674E"/>
    <w:lvl w:ilvl="0">
      <w:start w:val="1"/>
      <w:numFmt w:val="decimal"/>
      <w:pStyle w:val="2"/>
      <w:lvlText w:val="%1."/>
      <w:lvlJc w:val="left"/>
      <w:pPr>
        <w:ind w:left="425" w:hanging="425"/>
      </w:pPr>
      <w:rPr>
        <w:rFonts w:hint="default"/>
      </w:rPr>
    </w:lvl>
  </w:abstractNum>
  <w:abstractNum w:abstractNumId="2">
    <w:nsid w:val="E45E9840"/>
    <w:multiLevelType w:val="multilevel"/>
    <w:tmpl w:val="E45E9840"/>
    <w:lvl w:ilvl="0">
      <w:start w:val="1"/>
      <w:numFmt w:val="decimal"/>
      <w:pStyle w:val="3"/>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0673E836"/>
    <w:multiLevelType w:val="singleLevel"/>
    <w:tmpl w:val="0673E836"/>
    <w:lvl w:ilvl="0">
      <w:start w:val="1"/>
      <w:numFmt w:val="chineseCounting"/>
      <w:suff w:val="nothing"/>
      <w:lvlText w:val="%1、"/>
      <w:lvlJc w:val="left"/>
      <w:pPr>
        <w:ind w:left="0" w:firstLine="420"/>
      </w:pPr>
      <w:rPr>
        <w:rFonts w:hint="eastAsia"/>
      </w:rPr>
    </w:lvl>
  </w:abstractNum>
  <w:abstractNum w:abstractNumId="4">
    <w:nsid w:val="67CE09D2"/>
    <w:multiLevelType w:val="hybridMultilevel"/>
    <w:tmpl w:val="766CA352"/>
    <w:lvl w:ilvl="0" w:tplc="001C965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M5YmM2MzQ3MDUxMjk4ODNhMWMxY2Y0MDBiNGFiZDIifQ=="/>
  </w:docVars>
  <w:rsids>
    <w:rsidRoot w:val="003D39E8"/>
    <w:rsid w:val="003D39E8"/>
    <w:rsid w:val="004423E0"/>
    <w:rsid w:val="00771CD6"/>
    <w:rsid w:val="00A800DE"/>
    <w:rsid w:val="00C041F1"/>
    <w:rsid w:val="030A5F30"/>
    <w:rsid w:val="03B62C73"/>
    <w:rsid w:val="03EF5C3C"/>
    <w:rsid w:val="04C7485C"/>
    <w:rsid w:val="07CC0569"/>
    <w:rsid w:val="089A24F7"/>
    <w:rsid w:val="0949606C"/>
    <w:rsid w:val="09835DEF"/>
    <w:rsid w:val="09A56A50"/>
    <w:rsid w:val="09C63531"/>
    <w:rsid w:val="09F8528A"/>
    <w:rsid w:val="0A1D552E"/>
    <w:rsid w:val="0C3751C9"/>
    <w:rsid w:val="0D14771A"/>
    <w:rsid w:val="0DB02109"/>
    <w:rsid w:val="0DCD3F75"/>
    <w:rsid w:val="0E43752E"/>
    <w:rsid w:val="0E9B208B"/>
    <w:rsid w:val="0EF303E7"/>
    <w:rsid w:val="0F0020F2"/>
    <w:rsid w:val="1131366D"/>
    <w:rsid w:val="11865AC3"/>
    <w:rsid w:val="13484AF2"/>
    <w:rsid w:val="154815A5"/>
    <w:rsid w:val="158A77F0"/>
    <w:rsid w:val="16561E83"/>
    <w:rsid w:val="167135DE"/>
    <w:rsid w:val="18EF453A"/>
    <w:rsid w:val="1A652B95"/>
    <w:rsid w:val="1A7D5B75"/>
    <w:rsid w:val="1B0D514B"/>
    <w:rsid w:val="1C543DDD"/>
    <w:rsid w:val="1CF44521"/>
    <w:rsid w:val="1D515591"/>
    <w:rsid w:val="1DD22763"/>
    <w:rsid w:val="1DDB5BD8"/>
    <w:rsid w:val="1E07569E"/>
    <w:rsid w:val="1EA462AB"/>
    <w:rsid w:val="221072CF"/>
    <w:rsid w:val="228E6C0D"/>
    <w:rsid w:val="22D72DEB"/>
    <w:rsid w:val="27E712B1"/>
    <w:rsid w:val="288F0D42"/>
    <w:rsid w:val="29BA46F0"/>
    <w:rsid w:val="2A834E94"/>
    <w:rsid w:val="2B6E4CDA"/>
    <w:rsid w:val="2D0E7D49"/>
    <w:rsid w:val="2EE91B67"/>
    <w:rsid w:val="2FCF5962"/>
    <w:rsid w:val="328B0685"/>
    <w:rsid w:val="36B97ADD"/>
    <w:rsid w:val="36C50230"/>
    <w:rsid w:val="38AD6C28"/>
    <w:rsid w:val="39732F39"/>
    <w:rsid w:val="39B91A42"/>
    <w:rsid w:val="3CA26789"/>
    <w:rsid w:val="3D423A0C"/>
    <w:rsid w:val="3D65276D"/>
    <w:rsid w:val="3DC15413"/>
    <w:rsid w:val="3ECB7CCF"/>
    <w:rsid w:val="3EF1250A"/>
    <w:rsid w:val="407F6A07"/>
    <w:rsid w:val="421A1D78"/>
    <w:rsid w:val="42552A89"/>
    <w:rsid w:val="42783849"/>
    <w:rsid w:val="428F58C7"/>
    <w:rsid w:val="42ED0561"/>
    <w:rsid w:val="439365B6"/>
    <w:rsid w:val="43AA779C"/>
    <w:rsid w:val="44A90399"/>
    <w:rsid w:val="44AD6ED3"/>
    <w:rsid w:val="44EB79FC"/>
    <w:rsid w:val="46E62C1A"/>
    <w:rsid w:val="47BC567F"/>
    <w:rsid w:val="47E04ECA"/>
    <w:rsid w:val="48780229"/>
    <w:rsid w:val="48985EC9"/>
    <w:rsid w:val="48B408DB"/>
    <w:rsid w:val="48C42A3E"/>
    <w:rsid w:val="49A3064E"/>
    <w:rsid w:val="49D91711"/>
    <w:rsid w:val="4A155717"/>
    <w:rsid w:val="4A2F038B"/>
    <w:rsid w:val="4B724B66"/>
    <w:rsid w:val="4BE918BC"/>
    <w:rsid w:val="4D521649"/>
    <w:rsid w:val="4E864D16"/>
    <w:rsid w:val="4ED0601E"/>
    <w:rsid w:val="503404A9"/>
    <w:rsid w:val="503A35E5"/>
    <w:rsid w:val="51FB2534"/>
    <w:rsid w:val="52E8557B"/>
    <w:rsid w:val="550A2219"/>
    <w:rsid w:val="554A5B5E"/>
    <w:rsid w:val="5825126E"/>
    <w:rsid w:val="58D02B8F"/>
    <w:rsid w:val="59017396"/>
    <w:rsid w:val="5A7642C1"/>
    <w:rsid w:val="5A9E1307"/>
    <w:rsid w:val="5BC052E6"/>
    <w:rsid w:val="5C0D74C8"/>
    <w:rsid w:val="5C90067F"/>
    <w:rsid w:val="5D012C7F"/>
    <w:rsid w:val="5D20335C"/>
    <w:rsid w:val="5D3A0F60"/>
    <w:rsid w:val="5D881AF1"/>
    <w:rsid w:val="5DDB6408"/>
    <w:rsid w:val="60C57BEC"/>
    <w:rsid w:val="627D5CDF"/>
    <w:rsid w:val="62A25746"/>
    <w:rsid w:val="631571B7"/>
    <w:rsid w:val="64346872"/>
    <w:rsid w:val="64E80BD6"/>
    <w:rsid w:val="65233032"/>
    <w:rsid w:val="661F2B39"/>
    <w:rsid w:val="662D4F64"/>
    <w:rsid w:val="664E51AE"/>
    <w:rsid w:val="66811B16"/>
    <w:rsid w:val="66F217CF"/>
    <w:rsid w:val="68564138"/>
    <w:rsid w:val="68EB4F7C"/>
    <w:rsid w:val="693370F8"/>
    <w:rsid w:val="6A59361E"/>
    <w:rsid w:val="6BFB0797"/>
    <w:rsid w:val="6CD82E74"/>
    <w:rsid w:val="6E1C50BF"/>
    <w:rsid w:val="6E571373"/>
    <w:rsid w:val="705D20AF"/>
    <w:rsid w:val="714F4CEB"/>
    <w:rsid w:val="716E66E6"/>
    <w:rsid w:val="727E3180"/>
    <w:rsid w:val="72B8008F"/>
    <w:rsid w:val="732B4A87"/>
    <w:rsid w:val="74312B55"/>
    <w:rsid w:val="74406B6D"/>
    <w:rsid w:val="74F92383"/>
    <w:rsid w:val="761B357F"/>
    <w:rsid w:val="76AC7923"/>
    <w:rsid w:val="76AF4743"/>
    <w:rsid w:val="781438CA"/>
    <w:rsid w:val="78517800"/>
    <w:rsid w:val="799023CD"/>
    <w:rsid w:val="79B35EB7"/>
    <w:rsid w:val="7B3A0510"/>
    <w:rsid w:val="7B987CD8"/>
    <w:rsid w:val="7C8D2B6B"/>
    <w:rsid w:val="7E090281"/>
    <w:rsid w:val="7E3570D0"/>
    <w:rsid w:val="7E3B526F"/>
    <w:rsid w:val="7F4C0ABC"/>
    <w:rsid w:val="7FC92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qFormat="1"/>
    <w:lsdException w:name="Body Text" w:uiPriority="99"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39E8"/>
    <w:pPr>
      <w:widowControl w:val="0"/>
      <w:spacing w:line="360" w:lineRule="auto"/>
      <w:jc w:val="both"/>
    </w:pPr>
    <w:rPr>
      <w:rFonts w:ascii="Calibri" w:hAnsi="Calibri"/>
      <w:kern w:val="2"/>
      <w:sz w:val="24"/>
      <w:szCs w:val="24"/>
    </w:rPr>
  </w:style>
  <w:style w:type="paragraph" w:styleId="1">
    <w:name w:val="heading 1"/>
    <w:basedOn w:val="a"/>
    <w:next w:val="a"/>
    <w:qFormat/>
    <w:rsid w:val="003D39E8"/>
    <w:pPr>
      <w:keepNext/>
      <w:keepLines/>
      <w:spacing w:line="576" w:lineRule="auto"/>
      <w:outlineLvl w:val="0"/>
    </w:pPr>
    <w:rPr>
      <w:b/>
      <w:kern w:val="44"/>
      <w:sz w:val="44"/>
    </w:rPr>
  </w:style>
  <w:style w:type="paragraph" w:styleId="2">
    <w:name w:val="heading 2"/>
    <w:basedOn w:val="a"/>
    <w:next w:val="a"/>
    <w:semiHidden/>
    <w:unhideWhenUsed/>
    <w:qFormat/>
    <w:rsid w:val="003D39E8"/>
    <w:pPr>
      <w:keepNext/>
      <w:keepLines/>
      <w:numPr>
        <w:numId w:val="1"/>
      </w:numPr>
      <w:spacing w:line="240" w:lineRule="auto"/>
      <w:outlineLvl w:val="1"/>
    </w:pPr>
    <w:rPr>
      <w:rFonts w:ascii="Arial" w:eastAsia="仿宋" w:hAnsi="Arial"/>
      <w:b/>
    </w:rPr>
  </w:style>
  <w:style w:type="paragraph" w:styleId="3">
    <w:name w:val="heading 3"/>
    <w:basedOn w:val="a"/>
    <w:next w:val="a"/>
    <w:unhideWhenUsed/>
    <w:qFormat/>
    <w:rsid w:val="003D39E8"/>
    <w:pPr>
      <w:keepNext/>
      <w:keepLines/>
      <w:numPr>
        <w:numId w:val="2"/>
      </w:numPr>
      <w:spacing w:line="240" w:lineRule="auto"/>
      <w:jc w:val="left"/>
      <w:outlineLvl w:val="2"/>
    </w:pPr>
    <w:rPr>
      <w:rFonts w:asciiTheme="minorHAnsi" w:eastAsia="仿宋" w:hAnsiTheme="minorHAnsi"/>
      <w:b/>
    </w:rPr>
  </w:style>
  <w:style w:type="paragraph" w:styleId="4">
    <w:name w:val="heading 4"/>
    <w:basedOn w:val="a"/>
    <w:next w:val="a"/>
    <w:unhideWhenUsed/>
    <w:qFormat/>
    <w:rsid w:val="003D39E8"/>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uiPriority w:val="99"/>
    <w:unhideWhenUsed/>
    <w:qFormat/>
    <w:rsid w:val="003D39E8"/>
    <w:pPr>
      <w:spacing w:after="120"/>
    </w:pPr>
  </w:style>
  <w:style w:type="paragraph" w:styleId="20">
    <w:name w:val="Body Text 2"/>
    <w:basedOn w:val="a"/>
    <w:next w:val="a0"/>
    <w:qFormat/>
    <w:rsid w:val="003D39E8"/>
    <w:pPr>
      <w:spacing w:after="120" w:line="480" w:lineRule="auto"/>
    </w:pPr>
  </w:style>
  <w:style w:type="paragraph" w:styleId="a4">
    <w:name w:val="annotation text"/>
    <w:basedOn w:val="a"/>
    <w:uiPriority w:val="99"/>
    <w:unhideWhenUsed/>
    <w:qFormat/>
    <w:rsid w:val="003D39E8"/>
    <w:pPr>
      <w:jc w:val="left"/>
    </w:pPr>
  </w:style>
  <w:style w:type="paragraph" w:styleId="5">
    <w:name w:val="toc 5"/>
    <w:basedOn w:val="a"/>
    <w:next w:val="a"/>
    <w:uiPriority w:val="39"/>
    <w:unhideWhenUsed/>
    <w:qFormat/>
    <w:rsid w:val="003D39E8"/>
    <w:pPr>
      <w:ind w:leftChars="800" w:left="1680"/>
    </w:pPr>
  </w:style>
  <w:style w:type="paragraph" w:styleId="30">
    <w:name w:val="toc 3"/>
    <w:basedOn w:val="a"/>
    <w:next w:val="a"/>
    <w:uiPriority w:val="39"/>
    <w:unhideWhenUsed/>
    <w:qFormat/>
    <w:rsid w:val="003D39E8"/>
    <w:pPr>
      <w:tabs>
        <w:tab w:val="left" w:pos="2127"/>
        <w:tab w:val="right" w:leader="dot" w:pos="9060"/>
      </w:tabs>
      <w:ind w:leftChars="400" w:left="960"/>
    </w:pPr>
  </w:style>
  <w:style w:type="paragraph" w:styleId="a5">
    <w:name w:val="footer"/>
    <w:basedOn w:val="a"/>
    <w:qFormat/>
    <w:rsid w:val="003D39E8"/>
    <w:pPr>
      <w:tabs>
        <w:tab w:val="center" w:pos="4153"/>
        <w:tab w:val="right" w:pos="8306"/>
      </w:tabs>
      <w:snapToGrid w:val="0"/>
      <w:jc w:val="left"/>
    </w:pPr>
    <w:rPr>
      <w:sz w:val="18"/>
    </w:rPr>
  </w:style>
  <w:style w:type="paragraph" w:styleId="a6">
    <w:name w:val="header"/>
    <w:basedOn w:val="a"/>
    <w:qFormat/>
    <w:rsid w:val="003D39E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unhideWhenUsed/>
    <w:qFormat/>
    <w:rsid w:val="003D39E8"/>
  </w:style>
  <w:style w:type="paragraph" w:styleId="40">
    <w:name w:val="toc 4"/>
    <w:basedOn w:val="a"/>
    <w:next w:val="a"/>
    <w:uiPriority w:val="39"/>
    <w:unhideWhenUsed/>
    <w:qFormat/>
    <w:rsid w:val="003D39E8"/>
    <w:pPr>
      <w:tabs>
        <w:tab w:val="right" w:leader="dot" w:pos="9070"/>
      </w:tabs>
      <w:ind w:leftChars="600" w:left="1440"/>
    </w:pPr>
  </w:style>
  <w:style w:type="paragraph" w:styleId="6">
    <w:name w:val="toc 6"/>
    <w:basedOn w:val="a"/>
    <w:next w:val="a"/>
    <w:uiPriority w:val="39"/>
    <w:unhideWhenUsed/>
    <w:qFormat/>
    <w:rsid w:val="003D39E8"/>
    <w:pPr>
      <w:spacing w:line="240" w:lineRule="auto"/>
      <w:ind w:leftChars="1000" w:left="2100"/>
    </w:pPr>
    <w:rPr>
      <w:rFonts w:asciiTheme="minorHAnsi" w:eastAsiaTheme="minorEastAsia" w:hAnsiTheme="minorHAnsi" w:cstheme="minorBidi"/>
      <w:sz w:val="21"/>
      <w:szCs w:val="22"/>
    </w:rPr>
  </w:style>
  <w:style w:type="paragraph" w:styleId="21">
    <w:name w:val="toc 2"/>
    <w:basedOn w:val="a"/>
    <w:next w:val="a"/>
    <w:uiPriority w:val="39"/>
    <w:unhideWhenUsed/>
    <w:qFormat/>
    <w:rsid w:val="003D39E8"/>
    <w:pPr>
      <w:tabs>
        <w:tab w:val="left" w:pos="1134"/>
        <w:tab w:val="right" w:leader="dot" w:pos="9060"/>
      </w:tabs>
      <w:ind w:leftChars="200" w:left="480"/>
    </w:pPr>
  </w:style>
  <w:style w:type="paragraph" w:styleId="a7">
    <w:name w:val="Normal (Web)"/>
    <w:basedOn w:val="a"/>
    <w:qFormat/>
    <w:rsid w:val="003D39E8"/>
    <w:pPr>
      <w:spacing w:beforeAutospacing="1" w:afterAutospacing="1"/>
      <w:jc w:val="left"/>
    </w:pPr>
    <w:rPr>
      <w:kern w:val="0"/>
    </w:rPr>
  </w:style>
  <w:style w:type="table" w:styleId="a8">
    <w:name w:val="Table Grid"/>
    <w:basedOn w:val="a2"/>
    <w:uiPriority w:val="59"/>
    <w:qFormat/>
    <w:rsid w:val="003D39E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qFormat/>
    <w:rsid w:val="003D39E8"/>
    <w:rPr>
      <w:sz w:val="21"/>
      <w:szCs w:val="21"/>
    </w:rPr>
  </w:style>
  <w:style w:type="paragraph" w:customStyle="1" w:styleId="F">
    <w:name w:val="F正文"/>
    <w:basedOn w:val="a"/>
    <w:qFormat/>
    <w:rsid w:val="003D39E8"/>
    <w:pPr>
      <w:tabs>
        <w:tab w:val="left" w:pos="7055"/>
      </w:tabs>
      <w:spacing w:line="240" w:lineRule="auto"/>
      <w:jc w:val="center"/>
    </w:pPr>
    <w:rPr>
      <w:rFonts w:ascii="宋体" w:hAnsi="Microsoft Sans Serif"/>
      <w:bCs/>
      <w:sz w:val="28"/>
      <w:szCs w:val="28"/>
      <w:lang w:val="zh-CN"/>
    </w:rPr>
  </w:style>
  <w:style w:type="paragraph" w:customStyle="1" w:styleId="aa">
    <w:name w:val="*正文"/>
    <w:basedOn w:val="a"/>
    <w:qFormat/>
    <w:rsid w:val="003D39E8"/>
    <w:pPr>
      <w:adjustRightInd w:val="0"/>
      <w:snapToGrid w:val="0"/>
      <w:ind w:firstLineChars="200" w:firstLine="200"/>
    </w:pPr>
    <w:rPr>
      <w:rFonts w:eastAsiaTheme="minorEastAsia" w:cstheme="minorBidi"/>
      <w:szCs w:val="22"/>
    </w:rPr>
  </w:style>
  <w:style w:type="table" w:customStyle="1" w:styleId="TableNormal">
    <w:name w:val="Table Normal"/>
    <w:unhideWhenUsed/>
    <w:qFormat/>
    <w:rsid w:val="003D39E8"/>
    <w:tblPr>
      <w:tblCellMar>
        <w:top w:w="0" w:type="dxa"/>
        <w:left w:w="0" w:type="dxa"/>
        <w:bottom w:w="0" w:type="dxa"/>
        <w:right w:w="0" w:type="dxa"/>
      </w:tblCellMar>
    </w:tblPr>
  </w:style>
  <w:style w:type="paragraph" w:customStyle="1" w:styleId="ab">
    <w:name w:val="表格居左"/>
    <w:basedOn w:val="ac"/>
    <w:uiPriority w:val="4"/>
    <w:qFormat/>
    <w:rsid w:val="003D39E8"/>
    <w:pPr>
      <w:jc w:val="left"/>
    </w:pPr>
  </w:style>
  <w:style w:type="paragraph" w:customStyle="1" w:styleId="ac">
    <w:name w:val="表格居中"/>
    <w:uiPriority w:val="5"/>
    <w:qFormat/>
    <w:rsid w:val="003D39E8"/>
    <w:pPr>
      <w:adjustRightInd w:val="0"/>
      <w:snapToGrid w:val="0"/>
      <w:spacing w:before="60" w:after="60"/>
      <w:jc w:val="center"/>
    </w:pPr>
    <w:rPr>
      <w:rFonts w:ascii="宋体" w:hAnsi="宋体"/>
      <w:color w:val="000000"/>
      <w:kern w:val="2"/>
      <w:sz w:val="21"/>
      <w:szCs w:val="21"/>
    </w:rPr>
  </w:style>
  <w:style w:type="paragraph" w:styleId="ad">
    <w:name w:val="List Paragraph"/>
    <w:basedOn w:val="a"/>
    <w:uiPriority w:val="34"/>
    <w:qFormat/>
    <w:rsid w:val="003D39E8"/>
    <w:pPr>
      <w:spacing w:line="240" w:lineRule="auto"/>
      <w:ind w:firstLine="420"/>
    </w:pPr>
    <w:rPr>
      <w:rFonts w:ascii="Times New Roman" w:hAnsi="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2022-08-12T08:01:00Z</cp:lastPrinted>
  <dcterms:created xsi:type="dcterms:W3CDTF">2022-10-18T02:44:00Z</dcterms:created>
  <dcterms:modified xsi:type="dcterms:W3CDTF">2022-10-18T02:44:00Z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A18F130FA0C740F4998F4C7BF18A9336</vt:lpwstr>
  </property>
</Properties>
</file>