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eastAsia="宋体"/>
          <w:lang w:val="en-US" w:eastAsia="zh-CN"/>
        </w:rPr>
      </w:pPr>
      <w:r>
        <w:rPr>
          <w:rFonts w:hint="eastAsia"/>
          <w:lang w:val="en-US" w:eastAsia="zh-CN"/>
        </w:rPr>
        <w:t xml:space="preserve">                    </w:t>
      </w:r>
    </w:p>
    <w:p>
      <w:pPr>
        <w:jc w:val="center"/>
        <w:rPr>
          <w:rFonts w:hint="eastAsia" w:ascii="华文新魏" w:hAnsi="华文新魏" w:eastAsia="华文新魏" w:cs="华文新魏"/>
          <w:sz w:val="44"/>
          <w:szCs w:val="44"/>
          <w:lang w:val="en-US" w:eastAsia="zh-CN"/>
        </w:rPr>
      </w:pPr>
      <w:r>
        <w:rPr>
          <w:rFonts w:hint="eastAsia" w:ascii="华文新魏" w:hAnsi="华文新魏" w:eastAsia="华文新魏" w:cs="华文新魏"/>
          <w:sz w:val="44"/>
          <w:szCs w:val="44"/>
          <w:lang w:val="en-US" w:eastAsia="zh-CN"/>
        </w:rPr>
        <w:t>病理质控与资料管理系统技术参数</w:t>
      </w:r>
    </w:p>
    <w:p/>
    <w:p/>
    <w:tbl>
      <w:tblPr>
        <w:tblStyle w:val="5"/>
        <w:tblW w:w="10125" w:type="dxa"/>
        <w:tblInd w:w="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1441"/>
        <w:gridCol w:w="8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555"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441"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指标项</w:t>
            </w:r>
          </w:p>
        </w:tc>
        <w:tc>
          <w:tcPr>
            <w:tcW w:w="8129" w:type="dxa"/>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55" w:type="dxa"/>
            <w:vMerge w:val="restart"/>
            <w:noWrap w:val="0"/>
            <w:vAlign w:val="center"/>
          </w:tcPr>
          <w:p>
            <w:pPr>
              <w:numPr>
                <w:ilvl w:val="0"/>
                <w:numId w:val="1"/>
              </w:numPr>
              <w:jc w:val="center"/>
              <w:rPr>
                <w:rFonts w:hint="eastAsia" w:ascii="宋体" w:hAnsi="宋体" w:eastAsia="宋体" w:cs="宋体"/>
                <w:sz w:val="24"/>
                <w:szCs w:val="24"/>
              </w:rPr>
            </w:pPr>
          </w:p>
        </w:tc>
        <w:tc>
          <w:tcPr>
            <w:tcW w:w="1441"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登记工作站软件</w:t>
            </w:r>
          </w:p>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可手工登记送检病例信息，也可从HIS系统中提取病人基本信息或电子申请单信息。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可按病例库进行登记，病例库可以自定义；可以指定默认的病例库。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病理号按照当前病例库的编号规则自动升位，也可直接提取最大号作为病理号，还可手工调整。登记时出现病理号重号有自动提示。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rPr>
              <w:t>记录不合格标本拒收原因，并提供不合格情况统计。</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打印门诊病人回执，约定取报告的时间和地点。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记录送检标本的明细信息，包括标本名称、离体时间、固定时间、接收时间等。</w:t>
            </w:r>
            <w:r>
              <w:rPr>
                <w:rFonts w:hint="eastAsia"/>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restart"/>
            <w:noWrap w:val="0"/>
            <w:vAlign w:val="center"/>
          </w:tcPr>
          <w:p>
            <w:pPr>
              <w:numPr>
                <w:ilvl w:val="0"/>
                <w:numId w:val="1"/>
              </w:numPr>
              <w:jc w:val="center"/>
              <w:rPr>
                <w:rFonts w:hint="eastAsia" w:ascii="宋体" w:hAnsi="宋体" w:eastAsia="宋体" w:cs="宋体"/>
                <w:sz w:val="24"/>
                <w:szCs w:val="24"/>
              </w:rPr>
            </w:pPr>
          </w:p>
        </w:tc>
        <w:tc>
          <w:tcPr>
            <w:tcW w:w="1441"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取材工作站软件</w:t>
            </w:r>
          </w:p>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highlight w:val="yellow"/>
              </w:rPr>
            </w:pPr>
            <w:r>
              <w:rPr>
                <w:rFonts w:hint="eastAsia" w:ascii="宋体" w:hAnsi="宋体" w:eastAsia="宋体" w:cs="宋体"/>
                <w:sz w:val="24"/>
                <w:szCs w:val="24"/>
              </w:rPr>
              <w:t>系统自动提示所有已登记但尚未取材的病例列表，或是有补取要求的病例列表。</w:t>
            </w:r>
            <w:r>
              <w:rPr>
                <w:rFonts w:hint="eastAsia" w:ascii="宋体" w:hAnsi="宋体" w:eastAsia="宋体" w:cs="宋体"/>
                <w:bCs/>
                <w:sz w:val="24"/>
                <w:szCs w:val="24"/>
              </w:rPr>
              <w:t>补取列表中的病例界面需显示开单医生及补取医嘱说明。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1"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 系统自动进行“同名检索”，遇到同名病人能自动提示“其他检查”，并能进一步进行住院号或病人编号的匹配，以准确锁定该病人的历史检查。</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5"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 取材时系统自动提示该病例是否做过冰冻，并能查看冰冻结果，根据冰冻结果确定取材要求。</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进行取材明细记录，系统自动计算待包埋数和材块总数。进行“附言”记录，包括“用完”“脱钙”“保留”等内容。可记录剩余标本的存放位置。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sz w:val="24"/>
                <w:szCs w:val="24"/>
              </w:rPr>
            </w:pPr>
            <w:r>
              <w:rPr>
                <w:rFonts w:hint="eastAsia" w:ascii="宋体" w:hAnsi="宋体" w:eastAsia="宋体" w:cs="宋体"/>
                <w:bCs/>
                <w:sz w:val="24"/>
                <w:szCs w:val="24"/>
              </w:rPr>
              <w:t>取材明细列表适应不同的取材序号队列。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sz w:val="24"/>
                <w:szCs w:val="24"/>
              </w:rPr>
            </w:pPr>
            <w:r>
              <w:rPr>
                <w:rFonts w:hint="eastAsia" w:ascii="宋体" w:hAnsi="宋体" w:eastAsia="宋体" w:cs="宋体"/>
                <w:sz w:val="24"/>
                <w:szCs w:val="24"/>
              </w:rPr>
              <w:t>取材明细的材块数具有单位（块、条、堆等），统计时只统计前面的数字。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取材记录员和取材明细关联，以区分常规取材和补取会由不同的人进行记录。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 xml:space="preserve">针对小标本取材描述提供专用模板。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1"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提供按照不同器官系统、不同标本切除方式分类的取材大体描述模板，用户可方便地在取材记录界面上直接进行模板内容的增加、修改和删除。</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在录入大体描述时，可以提取标本名称。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在录入取材组织名称时，其常用词会根据取材常用词树的第一级部位同步更新。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进行大体标本照相，通过与取材工作站相连的专业大体标本拍摄台，图像与病例直接关联保存。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可以进行材块核对，记录核对人，核对时间。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提供取材工作交接管理工具</w:t>
            </w:r>
            <w:r>
              <w:rPr>
                <w:rFonts w:hint="eastAsia" w:ascii="宋体" w:hAnsi="宋体" w:eastAsia="宋体" w:cs="宋体"/>
                <w:bCs/>
                <w:sz w:val="24"/>
                <w:szCs w:val="24"/>
              </w:rPr>
              <w:t>，区分当日取材和非当日取材，可按照取材医生分别整理</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restart"/>
            <w:noWrap w:val="0"/>
            <w:vAlign w:val="center"/>
          </w:tcPr>
          <w:p>
            <w:pPr>
              <w:numPr>
                <w:ilvl w:val="0"/>
                <w:numId w:val="1"/>
              </w:numPr>
              <w:jc w:val="center"/>
              <w:rPr>
                <w:rFonts w:hint="eastAsia" w:ascii="宋体" w:hAnsi="宋体" w:eastAsia="宋体" w:cs="宋体"/>
                <w:sz w:val="24"/>
                <w:szCs w:val="24"/>
              </w:rPr>
            </w:pPr>
          </w:p>
        </w:tc>
        <w:tc>
          <w:tcPr>
            <w:tcW w:w="1441"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包埋工作站软件</w:t>
            </w:r>
          </w:p>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系统自动打开所有已取材但尚未包埋病例的取材明细记录，供技术员在包埋时进行核对。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 记录组织材块“翻盖”“无组织”等特殊取材质量评价情况，能反馈到切片环节及病理医生处，并提供取材质量评价查询和统计功能。</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提供包埋环节工作量统计信息。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restart"/>
            <w:noWrap w:val="0"/>
            <w:vAlign w:val="center"/>
          </w:tcPr>
          <w:p>
            <w:pPr>
              <w:numPr>
                <w:ilvl w:val="0"/>
                <w:numId w:val="1"/>
              </w:numPr>
              <w:jc w:val="center"/>
              <w:rPr>
                <w:rFonts w:hint="eastAsia" w:ascii="宋体" w:hAnsi="宋体" w:eastAsia="宋体" w:cs="宋体"/>
                <w:sz w:val="24"/>
                <w:szCs w:val="24"/>
              </w:rPr>
            </w:pPr>
          </w:p>
        </w:tc>
        <w:tc>
          <w:tcPr>
            <w:tcW w:w="1441"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切片工作站软件</w:t>
            </w:r>
          </w:p>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系统自动提示所有已包埋但尚未制成切片的病例列表，或是有重切、深切要求的病例列表，或是下了免疫组化医嘱需切白片的病例列表。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可以查看每一病例的肉眼所见和取材明细。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可记录切片染色人、染色时间等相关信息。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医生在报告站开出了重切、深切等医嘱，切片站可以自定义弹框提示，以提醒技术员及时处理。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bCs/>
                <w:sz w:val="24"/>
                <w:szCs w:val="24"/>
              </w:rPr>
              <w:t>对于重切、深切等内部医嘱，系统会自动提示原切片人的信息。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按照蜡块包埋情况或重切、深切、免疫组化医嘱要求自动生成切片条码标签列表，用户可以进行手工调整。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 切片标签的生成适应切片不合并、自动合并、手工合并等多种情况。</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可根据登记列表自动生成细胞学制片的条码标签。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批量打印切片条码标签。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9"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 提供切片交接管理工具，用于技师和医师之间的切片交接清点对照。切片工作表可按取材医师或开单医师分别整理；可按照“标本类型”“切片类型”“操作员”“病理号单双号”等条件进一步整理；可按照病理号、蜡块号或特检号分类整理；可分别打印“常规制片交接单”“免疫组化交接单”等不同工作表。</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可进行切片交接状态的管理。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提供切片环节工作量统计信息。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5"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bCs/>
                <w:sz w:val="24"/>
                <w:szCs w:val="24"/>
              </w:rPr>
              <w:t>对每个病例都产生出切片明细列表，可由医生通过打分制进行切片质量评价工作，并提供切片质量月报表、日报表、非甲切片明细表及优片率统计功能。</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对已评价过的每一张切片可以进行切片评价处理记录，如原因分析及处理结果。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atLeast"/>
        </w:trPr>
        <w:tc>
          <w:tcPr>
            <w:tcW w:w="555" w:type="dxa"/>
            <w:vMerge w:val="restart"/>
            <w:noWrap w:val="0"/>
            <w:vAlign w:val="center"/>
          </w:tcPr>
          <w:p>
            <w:pPr>
              <w:numPr>
                <w:ilvl w:val="0"/>
                <w:numId w:val="1"/>
              </w:numPr>
              <w:jc w:val="center"/>
              <w:rPr>
                <w:rFonts w:hint="eastAsia" w:ascii="宋体" w:hAnsi="宋体" w:eastAsia="宋体" w:cs="宋体"/>
                <w:sz w:val="24"/>
                <w:szCs w:val="24"/>
              </w:rPr>
            </w:pPr>
          </w:p>
        </w:tc>
        <w:tc>
          <w:tcPr>
            <w:tcW w:w="1441" w:type="dxa"/>
            <w:vMerge w:val="restart"/>
            <w:noWrap w:val="0"/>
            <w:vAlign w:val="center"/>
          </w:tcPr>
          <w:p>
            <w:pPr>
              <w:jc w:val="center"/>
              <w:rPr>
                <w:rFonts w:hint="eastAsia"/>
                <w:sz w:val="24"/>
                <w:szCs w:val="24"/>
              </w:rPr>
            </w:pPr>
            <w:r>
              <w:rPr>
                <w:rFonts w:hint="eastAsia"/>
                <w:sz w:val="24"/>
                <w:szCs w:val="24"/>
              </w:rPr>
              <w:t>玻片打号机接口模块</w:t>
            </w:r>
          </w:p>
          <w:p>
            <w:pPr>
              <w:jc w:val="center"/>
              <w:rPr>
                <w:rFonts w:hint="eastAsia" w:ascii="Times New Roman" w:hAnsi="Times New Roman" w:eastAsia="宋体" w:cs="Times New Roman"/>
                <w:kern w:val="2"/>
                <w:sz w:val="24"/>
                <w:szCs w:val="24"/>
                <w:lang w:val="en-US" w:eastAsia="zh-CN" w:bidi="ar-SA"/>
              </w:rPr>
            </w:pPr>
          </w:p>
          <w:p>
            <w:pPr>
              <w:jc w:val="center"/>
              <w:rPr>
                <w:rFonts w:hint="eastAsia" w:ascii="宋体" w:hAnsi="宋体" w:eastAsia="宋体" w:cs="宋体"/>
                <w:sz w:val="24"/>
                <w:szCs w:val="24"/>
              </w:rPr>
            </w:pPr>
          </w:p>
        </w:tc>
        <w:tc>
          <w:tcPr>
            <w:tcW w:w="8129" w:type="dxa"/>
            <w:noWrap w:val="0"/>
            <w:vAlign w:val="center"/>
          </w:tcPr>
          <w:p>
            <w:pPr>
              <w:rPr>
                <w:rFonts w:hint="eastAsia" w:ascii="Times New Roman" w:hAnsi="Times New Roman" w:eastAsia="宋体" w:cs="Times New Roman"/>
                <w:kern w:val="2"/>
                <w:sz w:val="24"/>
                <w:szCs w:val="24"/>
                <w:lang w:val="en-US" w:eastAsia="zh-CN" w:bidi="ar-SA"/>
              </w:rPr>
            </w:pPr>
            <w:r>
              <w:rPr>
                <w:rFonts w:hint="eastAsia" w:ascii="宋体" w:hAnsi="宋体"/>
                <w:sz w:val="24"/>
                <w:szCs w:val="24"/>
              </w:rPr>
              <w:t>通过定制接口将玻片打号机连入网络，以网络传输的方式取代手工录入，可将切片工作站软件中的切片明细列表直接传给玻片打号机打印。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trPr>
        <w:tc>
          <w:tcPr>
            <w:tcW w:w="555" w:type="dxa"/>
            <w:vMerge w:val="continue"/>
            <w:noWrap w:val="0"/>
            <w:vAlign w:val="center"/>
          </w:tcPr>
          <w:p>
            <w:pPr>
              <w:rPr>
                <w:sz w:val="24"/>
                <w:szCs w:val="24"/>
              </w:rPr>
            </w:pPr>
          </w:p>
        </w:tc>
        <w:tc>
          <w:tcPr>
            <w:tcW w:w="1441" w:type="dxa"/>
            <w:vMerge w:val="continue"/>
            <w:noWrap w:val="0"/>
            <w:vAlign w:val="center"/>
          </w:tcPr>
          <w:p>
            <w:pPr>
              <w:rPr>
                <w:sz w:val="24"/>
                <w:szCs w:val="24"/>
              </w:rPr>
            </w:pPr>
          </w:p>
        </w:tc>
        <w:tc>
          <w:tcPr>
            <w:tcW w:w="8129" w:type="dxa"/>
            <w:noWrap w:val="0"/>
            <w:vAlign w:val="center"/>
          </w:tcPr>
          <w:p>
            <w:pPr>
              <w:rPr>
                <w:rFonts w:hint="eastAsia" w:ascii="Times New Roman" w:hAnsi="Times New Roman" w:eastAsia="宋体" w:cs="Times New Roman"/>
                <w:kern w:val="2"/>
                <w:sz w:val="24"/>
                <w:szCs w:val="24"/>
                <w:lang w:val="en-US" w:eastAsia="zh-CN" w:bidi="ar-SA"/>
              </w:rPr>
            </w:pPr>
            <w:r>
              <w:rPr>
                <w:rFonts w:hint="eastAsia" w:ascii="宋体" w:hAnsi="宋体"/>
                <w:sz w:val="24"/>
                <w:szCs w:val="24"/>
              </w:rPr>
              <w:t>支持制片技师等信息的打印。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trPr>
        <w:tc>
          <w:tcPr>
            <w:tcW w:w="555" w:type="dxa"/>
            <w:vMerge w:val="continue"/>
            <w:noWrap w:val="0"/>
            <w:vAlign w:val="center"/>
          </w:tcPr>
          <w:p>
            <w:pPr>
              <w:rPr>
                <w:rFonts w:hint="eastAsia" w:ascii="宋体" w:hAnsi="宋体" w:eastAsia="宋体" w:cs="宋体"/>
                <w:sz w:val="24"/>
                <w:szCs w:val="24"/>
              </w:rPr>
            </w:pPr>
          </w:p>
        </w:tc>
        <w:tc>
          <w:tcPr>
            <w:tcW w:w="1441" w:type="dxa"/>
            <w:vMerge w:val="continue"/>
            <w:noWrap w:val="0"/>
            <w:vAlign w:val="center"/>
          </w:tcPr>
          <w:p>
            <w:pPr>
              <w:rPr>
                <w:rFonts w:hint="eastAsia" w:ascii="宋体" w:hAnsi="宋体" w:eastAsia="宋体" w:cs="宋体"/>
                <w:sz w:val="24"/>
                <w:szCs w:val="24"/>
              </w:rPr>
            </w:pPr>
          </w:p>
        </w:tc>
        <w:tc>
          <w:tcPr>
            <w:tcW w:w="8129" w:type="dxa"/>
            <w:noWrap w:val="0"/>
            <w:vAlign w:val="center"/>
          </w:tcPr>
          <w:p>
            <w:pPr>
              <w:rPr>
                <w:rFonts w:hint="eastAsia" w:ascii="Times New Roman" w:hAnsi="Times New Roman" w:eastAsia="宋体" w:cs="Times New Roman"/>
                <w:kern w:val="2"/>
                <w:sz w:val="24"/>
                <w:szCs w:val="24"/>
                <w:lang w:val="en-US" w:eastAsia="zh-CN" w:bidi="ar-SA"/>
              </w:rPr>
            </w:pPr>
            <w:r>
              <w:rPr>
                <w:rFonts w:hint="eastAsia" w:ascii="宋体" w:hAnsi="宋体"/>
                <w:sz w:val="24"/>
                <w:szCs w:val="24"/>
              </w:rPr>
              <w:t>支持常规标签和免疫组化标签的玻片打号。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trPr>
        <w:tc>
          <w:tcPr>
            <w:tcW w:w="555" w:type="dxa"/>
            <w:vMerge w:val="continue"/>
            <w:noWrap w:val="0"/>
            <w:vAlign w:val="center"/>
          </w:tcPr>
          <w:p>
            <w:pPr>
              <w:rPr>
                <w:rFonts w:hint="eastAsia" w:ascii="宋体" w:hAnsi="宋体" w:eastAsia="宋体" w:cs="宋体"/>
                <w:sz w:val="24"/>
                <w:szCs w:val="24"/>
              </w:rPr>
            </w:pPr>
          </w:p>
        </w:tc>
        <w:tc>
          <w:tcPr>
            <w:tcW w:w="1441" w:type="dxa"/>
            <w:vMerge w:val="continue"/>
            <w:noWrap w:val="0"/>
            <w:vAlign w:val="center"/>
          </w:tcPr>
          <w:p>
            <w:pPr>
              <w:rPr>
                <w:rFonts w:hint="eastAsia" w:ascii="宋体" w:hAnsi="宋体" w:eastAsia="宋体" w:cs="宋体"/>
                <w:sz w:val="24"/>
                <w:szCs w:val="24"/>
              </w:rPr>
            </w:pPr>
          </w:p>
        </w:tc>
        <w:tc>
          <w:tcPr>
            <w:tcW w:w="8129" w:type="dxa"/>
            <w:noWrap w:val="0"/>
            <w:vAlign w:val="center"/>
          </w:tcPr>
          <w:p>
            <w:pPr>
              <w:rPr>
                <w:rFonts w:hint="eastAsia" w:ascii="Times New Roman" w:hAnsi="Times New Roman" w:eastAsia="宋体" w:cs="Times New Roman"/>
                <w:kern w:val="2"/>
                <w:sz w:val="24"/>
                <w:szCs w:val="24"/>
                <w:lang w:val="en-US" w:eastAsia="zh-CN" w:bidi="ar-SA"/>
              </w:rPr>
            </w:pPr>
            <w:r>
              <w:rPr>
                <w:rFonts w:hint="eastAsia" w:ascii="宋体" w:hAnsi="宋体"/>
                <w:sz w:val="24"/>
                <w:szCs w:val="24"/>
              </w:rPr>
              <w:t>支持二维码打印。（需打号机支持相应功能）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restart"/>
            <w:noWrap w:val="0"/>
            <w:vAlign w:val="center"/>
          </w:tcPr>
          <w:p>
            <w:pPr>
              <w:numPr>
                <w:ilvl w:val="0"/>
                <w:numId w:val="1"/>
              </w:numPr>
              <w:jc w:val="center"/>
              <w:rPr>
                <w:rFonts w:hint="eastAsia" w:ascii="宋体" w:hAnsi="宋体" w:eastAsia="宋体" w:cs="宋体"/>
                <w:sz w:val="24"/>
                <w:szCs w:val="24"/>
              </w:rPr>
            </w:pPr>
          </w:p>
        </w:tc>
        <w:tc>
          <w:tcPr>
            <w:tcW w:w="1441"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综合报告工作站软件</w:t>
            </w:r>
          </w:p>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可查看病例的基本信息、临床诊断信息、大体标本的照片和描述、取材的明细记录等内容。录入镜下所见、病理诊断、免疫组化结果、液基细胞学等诊断报告项目。报告常用词、报告格式自定义功能。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使用带标准TWAIN32接口的数码摄像头，可实时浏览、采集和保存镜下图像。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bCs/>
                <w:sz w:val="24"/>
                <w:szCs w:val="24"/>
              </w:rPr>
              <w:t>根据登录用户身份，自动提示“我的未审核报告”“我的未打印报告”“我的未写报告”“我的延期报告”“我的申请复片”“我的待复片”“我的外借返回病例”“我的收藏夹”“科内会诊”“需随访病例”等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bCs/>
                <w:sz w:val="24"/>
                <w:szCs w:val="24"/>
              </w:rPr>
              <w:t>自动提示该病例的历史病理结果和同次送检的其他标本检查情况。除“同名检索”功能外，还能进一步进行住院号、病人编号或身份证号的匹配，以准确锁定该病人的检查记录。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在查看病人的历史检查时可浏览对应病理号的镜下图像及取材明细。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提供同一病理号（或冰冻号）不限次数的独立冰冻报告，每一份冰冻报告单独记录收到时间、取材医生、取材块数、制片人、报告医生、审核医生、报告时间等项目，每一份冰冻报告可单独进行审核并提供给临床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针对同一病理号（或冰冻号）多次的独立冰冻报告，在发放冰冻报告时系统需保证同一病理号前面的冰冻报告已发放。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冰冻超时报告可提示医生进行“迟发原因”的输入，可自定义迟发原因并进行下拉框选择。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可按时间段统计术中冰冻的送检例数、送检次数及取材块数。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提供“冰冻-石蜡”诊断对照功能。可进行冰冻诊断符合率的统计。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可进行冰冻制片时间的统计，还可进行冰冻制片及时率的统计。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可进行冰冻报告发放时间的统计，并显示冰冻超时报告的迟发原因。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1"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可进行术中快速病理诊断及时率的统计（包括多台同时送检且时间在45分钟之内的情况的特殊处理）</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可查看取材明细列表，在列表中可进行淋巴结转移情况标记，并将标记说明一键快速导入到病理诊断中。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可将标本名称和冰冻诊断提取到病理诊断中。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color w:val="000000"/>
                <w:sz w:val="24"/>
                <w:szCs w:val="24"/>
              </w:rPr>
              <w:t>适应病理报告三级医生负责制，提供定向复片、多级复片功能，初诊意见和复片意见单独保存备查。上级医生可对初诊意见进行结果评价，可以统计复片数和复片准确率。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针对七类小标本和二十类大标本肿瘤疾病，提供国际先进的“结构化报告”标准报告模版。</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采用包括TBS2004在内的多种分级报告系统，用户点选选项即可快速输出液基细胞学报告。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报告打印时能设置病例库对“阴阳性”“临床符合”“冰冻符合”进行检查，如果无内容不能打印。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5"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bCs/>
                <w:color w:val="000000"/>
                <w:sz w:val="24"/>
                <w:szCs w:val="24"/>
              </w:rPr>
              <w:t>病理诊断结果与性别冲突监控提示功能：如男性病例出现“宫颈、卵巢等”描述、女性病例出现“阴茎、睾丸等”描述时，系统自动进行弹框提醒。</w:t>
            </w:r>
            <w:r>
              <w:rPr>
                <w:rFonts w:hint="eastAsia"/>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5"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镜下所见及</w:t>
            </w:r>
            <w:r>
              <w:rPr>
                <w:rFonts w:hint="eastAsia" w:ascii="宋体" w:hAnsi="宋体" w:eastAsia="宋体" w:cs="宋体"/>
                <w:bCs/>
                <w:color w:val="000000"/>
                <w:sz w:val="24"/>
                <w:szCs w:val="24"/>
              </w:rPr>
              <w:t>病理诊断结果与标本名称左右部位冲突监控提示功能：如标本名称为“左乳腺”，病理诊断中出现“右”，系统将自行弹框提醒。</w:t>
            </w:r>
            <w:r>
              <w:rPr>
                <w:rFonts w:hint="eastAsia"/>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bCs/>
                <w:color w:val="000000"/>
                <w:sz w:val="24"/>
                <w:szCs w:val="24"/>
              </w:rPr>
              <w:t>病理诊断结果智能匹配提示功能：用户可自定义特殊词汇和相应提示内容，在病理诊断中出现这些词汇时，系统自动进行弹框提示。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病理诊断结果智能预警功能：如病理诊断出现“癌” “瘤”“阳性”，则字体将变红提醒。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bCs/>
                <w:color w:val="000000"/>
                <w:sz w:val="24"/>
                <w:szCs w:val="24"/>
              </w:rPr>
              <w:t>在查看取材明细时，碰到任务来源是“冰冻”时，系统自动变为红色进行提示。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可进行报告质量的评价。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bCs/>
                <w:color w:val="000000"/>
                <w:sz w:val="24"/>
                <w:szCs w:val="24"/>
              </w:rPr>
              <w:t>可发出内部医嘱要求，包括重切、深切、补取、免疫组化等，发出的内部医嘱在相应的工作站点上有相应提示，可查看内部医嘱相应的执行情况（医嘱状态）和结果。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color w:val="000000"/>
                <w:sz w:val="24"/>
                <w:szCs w:val="24"/>
              </w:rPr>
              <w:t>医生开技术医嘱时，可批量选择蜡块号，来进行批量重切或深切。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提供免疫组化预开单及开单审核管理功能。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医生开免疫组化医嘱时，系统会自动匹配本科室已开展的标记物项目，</w:t>
            </w:r>
            <w:r>
              <w:rPr>
                <w:rFonts w:hint="eastAsia" w:ascii="宋体" w:hAnsi="宋体" w:eastAsia="宋体" w:cs="宋体"/>
                <w:color w:val="000000"/>
                <w:sz w:val="24"/>
                <w:szCs w:val="24"/>
              </w:rPr>
              <w:t>如果无此标记物项目，则系统弹出相关提示并阻止开单。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医生开特检医嘱时，系统需显示历史特检医嘱开单信息。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color w:val="000000"/>
                <w:kern w:val="0"/>
                <w:sz w:val="24"/>
                <w:szCs w:val="24"/>
              </w:rPr>
              <w:t>提供单独的特检医嘱查询列表，可按照医嘱类型、医嘱状态及申请医生来查找已开免疫组化医嘱的病例，从医嘱查询页双击病理号列或特检号列就能打开这一病例。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可将免疫组化结果快速导入到“特殊检查”“病理诊断”或“补充报告结果”中，导入时可自定义标记物排序。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提供同一病理号（或免疫号）不限次数的独立免疫组化补充报告，每一份免疫组化补充报告单独记录报告医生、审核医生、报告时间等项目，每一份免疫组化补充报告可单独进行审核并提供给临床进行查看。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通过病例状态颜色来标记当前病例在病理科所处的流程状态，如“已登记”“已取材”“已包埋”“已制片”“已写报告”“已审核”等。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提供报告应发时间管理，用户可自定义不同标本类型对应的报告应发时间，并能自定义接收标本时间分隔点。系统采用特殊颜色来标记“最后一天”“报告超期”“报告延期”等报告发放时间状态。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开免疫组化等内部医嘱时可指定系统进行报告发放时间到期提醒，同时可打印“缓发报告通知单”。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内部医嘱状态可自动关联到“缓发报告原因”，并提供给临床进行查看。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提供常规免疫组化和鉴别诊断类免疫组化自动关联“缓发报告原因”的差异化处理。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提供病理报告审核后的“犹豫期”自定义设定，并可自定义设定临床查看审核后的病理报告的“缓冲期”。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bCs/>
                <w:color w:val="000000"/>
                <w:sz w:val="24"/>
                <w:szCs w:val="24"/>
              </w:rPr>
              <w:t>可发出科内会诊申请，系统会自动加入“科内会诊”列表并进行提示，其他医生登录系统后可以快速定位这些会诊病例，可增加、修改、删除自己的科内会诊意见。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bCs/>
                <w:color w:val="000000"/>
                <w:sz w:val="24"/>
                <w:szCs w:val="24"/>
              </w:rPr>
              <w:t>可对病例进行随访标记，系统会自动加入“需随访病例”列表并进行提示，可录入并保存随访结果，并可继续随访或结束随访。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bCs/>
                <w:color w:val="000000"/>
                <w:sz w:val="24"/>
                <w:szCs w:val="24"/>
              </w:rPr>
              <w:t>可对感兴趣的病例进行自定义收藏分类管理，系统会自动加入到“我的收藏夹”列表并进行提示，医生可以导出自己的收藏夹病例列表。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color w:val="000000"/>
                <w:sz w:val="24"/>
                <w:szCs w:val="24"/>
              </w:rPr>
              <w:t>可根据多个条件来组合查询或统计病例、可进行模糊查询或精确查询。可提供“拼音码”来查询姓名。查询或统计出的结果可以导出为EXCEL文件，用户可自定义导出项目字段。可控制每个医生病理报告的查询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提供按照“部位”“病名”关键词区分的疾病索引管理，并进行精确的疾病种类统计。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提供多种病理科工作量统计报表，包括医生工作量、技师工作量、科室工作量、技术医嘱工作量、特检医嘱工作量、临床送检工作量、外院送检工作量等。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提供多种符合率统计报表，包括冰冻诊断符合率、临床诊断符合率、会诊符合率等。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提供多种报告时间统计报表，包括冰冻报告发放时间统计、报告发放及时率的统计、未发报告统计、超期报告统计、报告实际发放天数统计、报告实际发放天数汇总。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提供同一病人的“小标本—大标本”或“细胞学—常规”诊断对照功能，并能导出为EXCEL文件。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提供报告格式自动扩页功能，以适应内容较多的病理报告或尸检病理报告。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提供用户分级权限体系，适应病理科不同级别的医生相互之间的报告修改、审核的权限嵌套关系。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49"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r>
              <w:rPr>
                <w:rFonts w:hint="eastAsia" w:ascii="宋体" w:hAnsi="宋体" w:eastAsia="宋体" w:cs="宋体"/>
                <w:bCs/>
                <w:color w:val="000000"/>
                <w:sz w:val="24"/>
                <w:szCs w:val="24"/>
              </w:rPr>
              <w:t>提供每日病理报告签收单管理，通过扫描病理报告单上的条码，自动按照“病区”或“送检科室”排序整理报告签收单进行打印，用于临床接收病理报告后签字返回病理科进行存档。</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bCs/>
                <w:color w:val="000000"/>
                <w:sz w:val="24"/>
                <w:szCs w:val="24"/>
              </w:rPr>
              <w:t>重要报告痕迹后台记录和溯源查询功能。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restart"/>
            <w:noWrap w:val="0"/>
            <w:vAlign w:val="center"/>
          </w:tcPr>
          <w:p>
            <w:pPr>
              <w:numPr>
                <w:ilvl w:val="0"/>
                <w:numId w:val="1"/>
              </w:numPr>
              <w:jc w:val="center"/>
              <w:rPr>
                <w:rFonts w:hint="eastAsia" w:ascii="宋体" w:hAnsi="宋体" w:eastAsia="宋体" w:cs="宋体"/>
                <w:sz w:val="24"/>
                <w:szCs w:val="24"/>
              </w:rPr>
            </w:pPr>
          </w:p>
        </w:tc>
        <w:tc>
          <w:tcPr>
            <w:tcW w:w="1441" w:type="dxa"/>
            <w:vMerge w:val="restart"/>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质控管理统计模块</w:t>
            </w:r>
          </w:p>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sz w:val="24"/>
                <w:szCs w:val="24"/>
              </w:rPr>
              <w:t>提供“冰冻-石蜡”诊断对照功能。可进行冰冻诊断符合率的统计。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rPr>
                <w:rFonts w:hint="eastAsia" w:ascii="宋体" w:hAnsi="宋体" w:eastAsia="宋体" w:cs="宋体"/>
                <w:sz w:val="24"/>
                <w:szCs w:val="24"/>
              </w:rPr>
            </w:pPr>
          </w:p>
        </w:tc>
        <w:tc>
          <w:tcPr>
            <w:tcW w:w="1441" w:type="dxa"/>
            <w:vMerge w:val="continue"/>
            <w:noWrap w:val="0"/>
            <w:vAlign w:val="center"/>
          </w:tcPr>
          <w:p>
            <w:pP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sz w:val="24"/>
                <w:szCs w:val="24"/>
              </w:rPr>
              <w:t>可进行冰冻制片时间的统计，还可进行冰冻制片及时率的统计。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sz w:val="24"/>
                <w:szCs w:val="24"/>
              </w:rPr>
              <w:t>可进行冰冻报告发放时间的统计，并显示冰冻超时报告的迟发原因。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可进行术中快速病理诊断及时率的统计（包括多台同时送检且时间在45分钟之内的情况的特殊处理）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bCs/>
                <w:color w:val="000000"/>
                <w:kern w:val="2"/>
                <w:sz w:val="24"/>
                <w:szCs w:val="24"/>
                <w:lang w:val="en-US" w:eastAsia="zh-CN" w:bidi="ar-SA"/>
              </w:rPr>
            </w:pPr>
            <w:r>
              <w:rPr>
                <w:rFonts w:hint="eastAsia" w:ascii="宋体" w:hAnsi="宋体" w:eastAsia="宋体" w:cs="宋体"/>
                <w:color w:val="000000"/>
                <w:sz w:val="24"/>
                <w:szCs w:val="24"/>
              </w:rPr>
              <w:t>可根据多个条件来组合查询或统计病例、可进行模糊查询或精确查询。可提供“拼音码”来查询姓名。查询或统计出的结果可以导出为EXCEL文件，用户可自定义导出项目字段。可控制每个医生病理报告的查询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提供按照“部位”“病名”关键词区分的疾病索引管理，并进行精确的疾病种类统计。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提供多种病理科工作量统计报表，包括医生工作量、技师工作量、科室工作量、技术医嘱工作量、特检医嘱工作量、临床送检工作量、外院送检工作量等。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提供多种符合率统计报表，包括冰冻诊断符合率、临床诊断符合率、会诊符合率等。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提供多种报告时间统计报表，包括冰冻报告发放时间统计、报告发放及时率的统计、未发报告统计、超期报告统计、报告实际发放天数统计、报告实际发放天数汇总。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4"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提供同一病人的“小标本—大标本”或“细胞学—常规”诊断对照功能，并能导出为EXCEL文件。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4" w:hRule="atLeast"/>
        </w:trPr>
        <w:tc>
          <w:tcPr>
            <w:tcW w:w="555" w:type="dxa"/>
            <w:vMerge w:val="continue"/>
            <w:noWrap w:val="0"/>
            <w:vAlign w:val="center"/>
          </w:tcPr>
          <w:p>
            <w:pPr>
              <w:rPr>
                <w:rFonts w:hint="eastAsia" w:ascii="宋体" w:hAnsi="宋体" w:eastAsia="宋体" w:cs="宋体"/>
                <w:sz w:val="24"/>
                <w:szCs w:val="24"/>
              </w:rPr>
            </w:pPr>
          </w:p>
        </w:tc>
        <w:tc>
          <w:tcPr>
            <w:tcW w:w="1441" w:type="dxa"/>
            <w:vMerge w:val="continue"/>
            <w:noWrap w:val="0"/>
            <w:vAlign w:val="center"/>
          </w:tcPr>
          <w:p>
            <w:pPr>
              <w:rPr>
                <w:rFonts w:hint="eastAsia" w:ascii="宋体" w:hAnsi="宋体" w:eastAsia="宋体" w:cs="宋体"/>
                <w:sz w:val="24"/>
                <w:szCs w:val="24"/>
              </w:rPr>
            </w:pPr>
          </w:p>
        </w:tc>
        <w:tc>
          <w:tcPr>
            <w:tcW w:w="8129" w:type="dxa"/>
            <w:noWrap w:val="0"/>
            <w:vAlign w:val="top"/>
          </w:tcPr>
          <w:p>
            <w:pPr>
              <w:rPr>
                <w:rFonts w:hint="eastAsia" w:ascii="宋体" w:hAnsi="宋体" w:eastAsia="宋体" w:cs="宋体"/>
                <w:kern w:val="2"/>
                <w:sz w:val="24"/>
                <w:szCs w:val="24"/>
                <w:lang w:val="en-US" w:eastAsia="zh-CN" w:bidi="ar-SA"/>
              </w:rPr>
            </w:pPr>
            <w:r>
              <w:rPr>
                <w:rFonts w:hint="eastAsia"/>
                <w:sz w:val="24"/>
                <w:szCs w:val="24"/>
              </w:rPr>
              <w:t xml:space="preserve">★ </w:t>
            </w:r>
            <w:r>
              <w:rPr>
                <w:rFonts w:hint="eastAsia" w:ascii="宋体" w:hAnsi="宋体" w:eastAsia="宋体" w:cs="宋体"/>
                <w:color w:val="000000"/>
                <w:sz w:val="24"/>
                <w:szCs w:val="24"/>
              </w:rPr>
              <w:t>系统提供卫计委13项质控指标管理模块数据汇总界面，便于管理人员进行13项质控数据自动计算、按月填报，同时支持质控指标下钻及一键导出39项质控数据。</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restart"/>
            <w:noWrap w:val="0"/>
            <w:vAlign w:val="center"/>
          </w:tcPr>
          <w:p>
            <w:pPr>
              <w:widowControl w:val="0"/>
              <w:numPr>
                <w:ilvl w:val="0"/>
                <w:numId w:val="0"/>
              </w:num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1441" w:type="dxa"/>
            <w:vMerge w:val="restart"/>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 xml:space="preserve">细胞学报告模块  </w:t>
            </w:r>
          </w:p>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细胞学、液基细胞学（TCT）病例独立分库管理，病理号按照预设格式自动升位。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rPr>
                <w:rFonts w:hint="eastAsia" w:ascii="宋体" w:hAnsi="宋体" w:eastAsia="宋体" w:cs="宋体"/>
                <w:sz w:val="24"/>
                <w:szCs w:val="24"/>
              </w:rPr>
            </w:pPr>
          </w:p>
        </w:tc>
        <w:tc>
          <w:tcPr>
            <w:tcW w:w="1441" w:type="dxa"/>
            <w:vMerge w:val="continue"/>
            <w:noWrap w:val="0"/>
            <w:vAlign w:val="center"/>
          </w:tcPr>
          <w:p>
            <w:pP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sz w:val="24"/>
                <w:szCs w:val="24"/>
              </w:rPr>
              <w:t>根据登录用户身份，自动提示“我的未审核报告”“我的未打印报告”“我的未写报告”“我的延期报告”“我的申请复片”“我的待复片”“我的外借返回病例”“我的收藏夹”、“科内会诊”“需随访病例”等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6"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系统自动进行“同名检索”，遇到同名病人能自动提示“其他检查”，并能进一步进行住院号（或病人编号、身份证号）的匹配，以准确锁定该病人的历史检查，或同次送检的不同标本类型检查。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在查看病人的历史检查时可浏览对应病理号的镜下图像及取材明细。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使用带标准TWAIN32接口的数码摄像头，可实时浏览、采集和保存镜下图像。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采用包括TBS2004在内的多种分级报告系统，用户点选选项即可快速输出液基细胞学报告。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科内会诊、随访、收藏管理。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可根据多个条件来组合查询或统计病例，可以进行模糊查询，也可以进行精确查询。查询或统计出的结果可以导出EXCEL表格文件。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restart"/>
            <w:noWrap w:val="0"/>
            <w:vAlign w:val="center"/>
          </w:tcPr>
          <w:p>
            <w:pPr>
              <w:widowControl w:val="0"/>
              <w:numPr>
                <w:ilvl w:val="0"/>
                <w:numId w:val="0"/>
              </w:num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w:t>
            </w:r>
          </w:p>
        </w:tc>
        <w:tc>
          <w:tcPr>
            <w:tcW w:w="1441" w:type="dxa"/>
            <w:vMerge w:val="restart"/>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HPV报告模块</w:t>
            </w:r>
          </w:p>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HPV病例独立分库管理，病理号按照预设格式自动升位。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rPr>
                <w:rFonts w:hint="eastAsia" w:ascii="宋体" w:hAnsi="宋体" w:eastAsia="宋体" w:cs="宋体"/>
                <w:sz w:val="24"/>
                <w:szCs w:val="24"/>
              </w:rPr>
            </w:pPr>
          </w:p>
        </w:tc>
        <w:tc>
          <w:tcPr>
            <w:tcW w:w="1441" w:type="dxa"/>
            <w:vMerge w:val="continue"/>
            <w:noWrap w:val="0"/>
            <w:vAlign w:val="center"/>
          </w:tcPr>
          <w:p>
            <w:pP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sz w:val="24"/>
                <w:szCs w:val="24"/>
              </w:rPr>
              <w:t>根据登录用户身份，自动提示“我的未审核报告”“我的未打印报告”“我的未写报告”“我的延期报告”“我的申请复片”“我的待复片”“我的外借返回病例”“我的收藏夹”、“科内会诊”“需随访病例”等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系统自动进行“同名检索”，遇到同名病人能自动提示“其他检查”，并能进一步进行住院号（或病人编号、身份证号）的匹配，以准确锁定该病人的历史检查，或同次送检的不同标本类型检查。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在查看病人的历史检查时可浏览对应病理号的镜下图像及取材明细。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提供HPV报告模板，可根据科室要求进行定制。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科内会诊、随访、收藏管理。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可根据多个条件来组合查询或统计病例，可以进行模糊查询，也可以进行精确查询。查询或统计出的结果可以导出EXCEL表格文件。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restart"/>
            <w:noWrap w:val="0"/>
            <w:vAlign w:val="center"/>
          </w:tcPr>
          <w:p>
            <w:pPr>
              <w:widowControl w:val="0"/>
              <w:numPr>
                <w:ilvl w:val="0"/>
                <w:numId w:val="0"/>
              </w:num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1441" w:type="dxa"/>
            <w:vMerge w:val="restart"/>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FISH报告模块</w:t>
            </w:r>
          </w:p>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FISH病例独立分库管理，病理号按照预设格式自动升位。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rPr>
                <w:rFonts w:hint="eastAsia" w:ascii="宋体" w:hAnsi="宋体" w:eastAsia="宋体" w:cs="宋体"/>
                <w:sz w:val="24"/>
                <w:szCs w:val="24"/>
              </w:rPr>
            </w:pPr>
          </w:p>
        </w:tc>
        <w:tc>
          <w:tcPr>
            <w:tcW w:w="1441" w:type="dxa"/>
            <w:vMerge w:val="continue"/>
            <w:noWrap w:val="0"/>
            <w:vAlign w:val="center"/>
          </w:tcPr>
          <w:p>
            <w:pP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sz w:val="24"/>
                <w:szCs w:val="24"/>
              </w:rPr>
              <w:t>根据登录用户身份，自动提示“我的未审核报告”“我的未打印报告”“我的未写报告”“我的延期报告”“我的申请复片”“我的待复片”“我的外借返回病例”“我的收藏夹”、“科内会诊”“需随访病例”等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系统自动进行“同名检索”，遇到同名病人能自动提示“其他检查”，并能进一步进行住院号（或病人编号、身份证号）的匹配，以准确锁定该病人的历史检查，或同次送检的不同标本类型检查。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在查看病人的历史检查时可浏览对应病理号的镜下图像及取材明细。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提供FISH报告模板，可根据科室要求进行定制。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科内会诊、随访、收藏管理。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可根据多个条件来组合查询或统计病例，可以进行模糊查询，也可以进行精确查询。查询或统计出的结果可以导出EXCEL表格文件。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restart"/>
            <w:noWrap w:val="0"/>
            <w:vAlign w:val="center"/>
          </w:tcPr>
          <w:p>
            <w:pPr>
              <w:widowControl w:val="0"/>
              <w:numPr>
                <w:ilvl w:val="0"/>
                <w:numId w:val="0"/>
              </w:num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p>
        </w:tc>
        <w:tc>
          <w:tcPr>
            <w:tcW w:w="1441" w:type="dxa"/>
            <w:vMerge w:val="restart"/>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PCR报告模块</w:t>
            </w:r>
          </w:p>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PCR病例独立分库管理，病理号按照预设格式自动升位。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1" w:hRule="atLeast"/>
        </w:trPr>
        <w:tc>
          <w:tcPr>
            <w:tcW w:w="555" w:type="dxa"/>
            <w:vMerge w:val="continue"/>
            <w:noWrap w:val="0"/>
            <w:vAlign w:val="center"/>
          </w:tcPr>
          <w:p>
            <w:pPr>
              <w:rPr>
                <w:rFonts w:hint="eastAsia" w:ascii="宋体" w:hAnsi="宋体" w:eastAsia="宋体" w:cs="宋体"/>
                <w:sz w:val="24"/>
                <w:szCs w:val="24"/>
              </w:rPr>
            </w:pPr>
          </w:p>
        </w:tc>
        <w:tc>
          <w:tcPr>
            <w:tcW w:w="1441" w:type="dxa"/>
            <w:vMerge w:val="continue"/>
            <w:noWrap w:val="0"/>
            <w:vAlign w:val="center"/>
          </w:tcPr>
          <w:p>
            <w:pP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 xml:space="preserve"> </w:t>
            </w:r>
            <w:r>
              <w:rPr>
                <w:rFonts w:hint="eastAsia" w:ascii="宋体" w:hAnsi="宋体" w:eastAsia="宋体" w:cs="宋体"/>
                <w:bCs/>
                <w:color w:val="000000"/>
                <w:sz w:val="24"/>
                <w:szCs w:val="24"/>
              </w:rPr>
              <w:t>根据登录用户身份，自动提示“我的未审核报告”“我的未打印报告”“我的未写报告”“我的延期报告”“我的申请复片”“我的待复片”“我的外借返回病例”“我的收藏夹”、“科内会诊”“需随访病例”等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 xml:space="preserve"> 系统自动进行“同名检索”，遇到同名病人能自动提示“其他检查”，并能进一步进行住院号（或病人编号、身份证号）的匹配，以准确锁定该病人的历史检查，或同次送检的不同标本类型检查。</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在查看病人的历史检查时可浏览对应病理号的镜下图像及取材明细。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提供PCR报告模板，可根据科室要求进行定制。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科内会诊、随访、收藏管理。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555" w:type="dxa"/>
            <w:vMerge w:val="continue"/>
            <w:noWrap w:val="0"/>
            <w:vAlign w:val="center"/>
          </w:tcPr>
          <w:p>
            <w:pPr>
              <w:rPr>
                <w:rFonts w:hint="eastAsia" w:ascii="宋体" w:hAnsi="宋体" w:eastAsia="宋体" w:cs="宋体"/>
                <w:bCs/>
                <w:color w:val="000000"/>
                <w:sz w:val="24"/>
                <w:szCs w:val="24"/>
              </w:rPr>
            </w:pPr>
          </w:p>
        </w:tc>
        <w:tc>
          <w:tcPr>
            <w:tcW w:w="1441" w:type="dxa"/>
            <w:vMerge w:val="continue"/>
            <w:noWrap w:val="0"/>
            <w:vAlign w:val="center"/>
          </w:tcPr>
          <w:p>
            <w:pPr>
              <w:rPr>
                <w:rFonts w:hint="eastAsia" w:ascii="宋体" w:hAnsi="宋体" w:eastAsia="宋体" w:cs="宋体"/>
                <w:bCs/>
                <w:color w:val="000000"/>
                <w:sz w:val="24"/>
                <w:szCs w:val="24"/>
              </w:rPr>
            </w:pPr>
          </w:p>
        </w:tc>
        <w:tc>
          <w:tcPr>
            <w:tcW w:w="8129" w:type="dxa"/>
            <w:noWrap w:val="0"/>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可根据多个条件来组合查询或统计病例，可以进行模糊查询，也可以进行精确查询。查询或统计出的结果可以导出EXCEL表格文件。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restart"/>
            <w:noWrap w:val="0"/>
            <w:vAlign w:val="center"/>
          </w:tcPr>
          <w:p>
            <w:pPr>
              <w:numPr>
                <w:ilvl w:val="0"/>
                <w:numId w:val="0"/>
              </w:numPr>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2</w:t>
            </w:r>
          </w:p>
        </w:tc>
        <w:tc>
          <w:tcPr>
            <w:tcW w:w="1441"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特检工作站软件</w:t>
            </w:r>
          </w:p>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bCs/>
                <w:color w:val="000000"/>
                <w:sz w:val="24"/>
                <w:szCs w:val="24"/>
              </w:rPr>
              <w:t>系统自动提示已发出特检医嘱（免疫组化、特殊染色、分子病理等）要求但尚未执行的病例信息列表。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0"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r>
              <w:rPr>
                <w:rFonts w:hint="eastAsia" w:ascii="宋体" w:hAnsi="宋体" w:eastAsia="宋体" w:cs="宋体"/>
                <w:bCs/>
                <w:color w:val="000000"/>
                <w:sz w:val="24"/>
                <w:szCs w:val="24"/>
              </w:rPr>
              <w:t>同一病理号开出的特检医嘱，碰到不同蜡块号或不同开单时间时，系统自动变为黄色进行提示。</w:t>
            </w:r>
            <w:r>
              <w:rPr>
                <w:rFonts w:hint="eastAsia" w:ascii="宋体" w:hAnsi="宋体" w:eastAsia="宋体" w:cs="宋体"/>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eastAsia="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bCs/>
                <w:color w:val="000000"/>
                <w:sz w:val="24"/>
                <w:szCs w:val="24"/>
              </w:rPr>
              <w:t>可从特检医嘱信息中提取病例信息、标记物名称等内容，来自动生成免疫组化切片等切片条码标签，并打印出来。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可按照标记物或病理号分类来打印染色工作表。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trPr>
        <w:tc>
          <w:tcPr>
            <w:tcW w:w="555" w:type="dxa"/>
            <w:vMerge w:val="continue"/>
            <w:noWrap w:val="0"/>
            <w:vAlign w:val="center"/>
          </w:tcPr>
          <w:p>
            <w:pPr>
              <w:numPr>
                <w:ilvl w:val="0"/>
                <w:numId w:val="1"/>
              </w:numPr>
              <w:jc w:val="center"/>
              <w:rPr>
                <w:rFonts w:hint="eastAsia" w:ascii="宋体" w:hAnsi="宋体" w:eastAsia="宋体" w:cs="宋体"/>
                <w:sz w:val="24"/>
                <w:szCs w:val="24"/>
              </w:rPr>
            </w:pPr>
          </w:p>
        </w:tc>
        <w:tc>
          <w:tcPr>
            <w:tcW w:w="1441" w:type="dxa"/>
            <w:vMerge w:val="continue"/>
            <w:noWrap w:val="0"/>
            <w:vAlign w:val="center"/>
          </w:tcPr>
          <w:p>
            <w:pPr>
              <w:jc w:val="center"/>
              <w:rPr>
                <w:rFonts w:hint="eastAsia" w:ascii="宋体" w:hAnsi="宋体" w:eastAsia="宋体" w:cs="宋体"/>
                <w:sz w:val="24"/>
                <w:szCs w:val="24"/>
              </w:rPr>
            </w:pPr>
          </w:p>
        </w:tc>
        <w:tc>
          <w:tcPr>
            <w:tcW w:w="8129" w:type="dxa"/>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有暂缓执行项目时，医嘱列表的“暂缓执行”按钮需变为红色进行提醒。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2" w:hRule="atLeast"/>
        </w:trPr>
        <w:tc>
          <w:tcPr>
            <w:tcW w:w="555" w:type="dxa"/>
            <w:noWrap w:val="0"/>
            <w:vAlign w:val="center"/>
          </w:tcPr>
          <w:p>
            <w:pPr>
              <w:numPr>
                <w:ilvl w:val="0"/>
                <w:numId w:val="0"/>
              </w:numPr>
              <w:ind w:leftChars="0"/>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1441" w:type="dxa"/>
            <w:noWrap w:val="0"/>
            <w:vAlign w:val="center"/>
          </w:tcPr>
          <w:p>
            <w:pPr>
              <w:jc w:val="center"/>
              <w:rPr>
                <w:rFonts w:hint="eastAsia"/>
                <w:sz w:val="24"/>
                <w:szCs w:val="24"/>
              </w:rPr>
            </w:pPr>
            <w:r>
              <w:rPr>
                <w:rFonts w:hint="eastAsia"/>
                <w:sz w:val="24"/>
                <w:szCs w:val="24"/>
              </w:rPr>
              <w:t>全自动免疫组化染色仪接口模块</w:t>
            </w:r>
          </w:p>
          <w:p>
            <w:pPr>
              <w:jc w:val="center"/>
              <w:rPr>
                <w:rFonts w:hint="eastAsia" w:ascii="Times New Roman" w:hAnsi="Times New Roman" w:eastAsia="宋体" w:cs="Times New Roman"/>
                <w:kern w:val="2"/>
                <w:sz w:val="24"/>
                <w:szCs w:val="24"/>
                <w:lang w:val="en-US" w:eastAsia="zh-CN" w:bidi="ar-SA"/>
              </w:rPr>
            </w:pPr>
          </w:p>
        </w:tc>
        <w:tc>
          <w:tcPr>
            <w:tcW w:w="8129" w:type="dxa"/>
            <w:noWrap w:val="0"/>
            <w:vAlign w:val="center"/>
          </w:tcPr>
          <w:p>
            <w:pPr>
              <w:rPr>
                <w:rFonts w:hint="eastAsia" w:ascii="Times New Roman" w:hAnsi="Times New Roman" w:eastAsia="宋体" w:cs="Times New Roman"/>
                <w:color w:val="000000"/>
                <w:kern w:val="2"/>
                <w:sz w:val="24"/>
                <w:szCs w:val="24"/>
                <w:lang w:val="en-US" w:eastAsia="zh-CN" w:bidi="ar-SA"/>
              </w:rPr>
            </w:pPr>
            <w:r>
              <w:rPr>
                <w:rFonts w:hint="eastAsia"/>
                <w:color w:val="000000"/>
                <w:sz w:val="24"/>
                <w:szCs w:val="24"/>
              </w:rPr>
              <w:t>通过定制接口将全自动免疫组化染色仪连入网络，以网络传输的方式取代手工录入，可将特检工作站软件中的特检医嘱明细列表中的数据（病理号、蜡块号、姓名、病人编号、标记物名称等），直接传给全自动免疫组化染色仪自带的工作站，由工作站打印出可供染色仪识别的免疫组化二维码或条码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trPr>
        <w:tc>
          <w:tcPr>
            <w:tcW w:w="555" w:type="dxa"/>
            <w:vMerge w:val="restart"/>
            <w:noWrap w:val="0"/>
            <w:vAlign w:val="center"/>
          </w:tcPr>
          <w:p>
            <w:pPr>
              <w:numPr>
                <w:ilvl w:val="0"/>
                <w:numId w:val="0"/>
              </w:numPr>
              <w:ind w:leftChars="0"/>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14</w:t>
            </w:r>
          </w:p>
        </w:tc>
        <w:tc>
          <w:tcPr>
            <w:tcW w:w="1441" w:type="dxa"/>
            <w:vMerge w:val="restar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归档工作站软件</w:t>
            </w:r>
          </w:p>
          <w:p>
            <w:pPr>
              <w:jc w:val="center"/>
              <w:rPr>
                <w:rFonts w:hint="eastAsia" w:ascii="Times New Roman" w:hAnsi="Times New Roman" w:eastAsia="宋体" w:cs="Times New Roman"/>
                <w:kern w:val="2"/>
                <w:sz w:val="24"/>
                <w:szCs w:val="24"/>
                <w:lang w:val="en-US" w:eastAsia="zh-CN" w:bidi="ar-SA"/>
              </w:rPr>
            </w:pPr>
          </w:p>
        </w:tc>
        <w:tc>
          <w:tcPr>
            <w:tcW w:w="8129" w:type="dxa"/>
            <w:noWrap w:val="0"/>
            <w:vAlign w:val="center"/>
          </w:tcPr>
          <w:p>
            <w:pPr>
              <w:rPr>
                <w:rFonts w:hint="eastAsia" w:ascii="Times New Roman" w:hAnsi="Times New Roman" w:eastAsia="宋体" w:cs="Times New Roman"/>
                <w:kern w:val="2"/>
                <w:sz w:val="24"/>
                <w:szCs w:val="24"/>
                <w:lang w:val="en-US" w:eastAsia="zh-CN" w:bidi="ar-SA"/>
              </w:rPr>
            </w:pPr>
            <w:r>
              <w:rPr>
                <w:rFonts w:hint="eastAsia" w:ascii="宋体" w:hAnsi="宋体"/>
                <w:bCs/>
                <w:sz w:val="24"/>
                <w:szCs w:val="24"/>
              </w:rPr>
              <w:t>按照病理号区段，将资料（申请单或底单）、蜡块、玻片分别归档处理，录入具体的归档位置。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atLeast"/>
        </w:trPr>
        <w:tc>
          <w:tcPr>
            <w:tcW w:w="555" w:type="dxa"/>
            <w:vMerge w:val="continue"/>
            <w:noWrap w:val="0"/>
            <w:vAlign w:val="center"/>
          </w:tcPr>
          <w:p>
            <w:pPr>
              <w:rPr>
                <w:sz w:val="24"/>
                <w:szCs w:val="24"/>
              </w:rPr>
            </w:pPr>
          </w:p>
        </w:tc>
        <w:tc>
          <w:tcPr>
            <w:tcW w:w="1441" w:type="dxa"/>
            <w:vMerge w:val="continue"/>
            <w:noWrap w:val="0"/>
            <w:vAlign w:val="center"/>
          </w:tcPr>
          <w:p>
            <w:pPr>
              <w:rPr>
                <w:sz w:val="24"/>
                <w:szCs w:val="24"/>
              </w:rPr>
            </w:pPr>
          </w:p>
        </w:tc>
        <w:tc>
          <w:tcPr>
            <w:tcW w:w="8129" w:type="dxa"/>
            <w:noWrap w:val="0"/>
            <w:vAlign w:val="center"/>
          </w:tcPr>
          <w:p>
            <w:pPr>
              <w:rPr>
                <w:rFonts w:hint="eastAsia" w:ascii="Times New Roman" w:hAnsi="Times New Roman" w:eastAsia="宋体" w:cs="Times New Roman"/>
                <w:kern w:val="2"/>
                <w:sz w:val="24"/>
                <w:szCs w:val="24"/>
                <w:lang w:val="en-US" w:eastAsia="zh-CN" w:bidi="ar-SA"/>
              </w:rPr>
            </w:pPr>
            <w:r>
              <w:rPr>
                <w:rFonts w:hint="eastAsia" w:ascii="宋体" w:hAnsi="宋体"/>
                <w:bCs/>
                <w:sz w:val="24"/>
                <w:szCs w:val="24"/>
              </w:rPr>
              <w:t>资料室借还片管理，及时了解和处理“借出”“归还”“作废”的切片情况。</w:t>
            </w:r>
            <w:r>
              <w:rPr>
                <w:rFonts w:hint="eastAsia"/>
                <w:kern w:val="0"/>
                <w:sz w:val="24"/>
                <w:szCs w:val="24"/>
              </w:rPr>
              <w:t>借片记录可以通过借阅人来查询，也可按照姓名模糊查询。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atLeast"/>
        </w:trPr>
        <w:tc>
          <w:tcPr>
            <w:tcW w:w="555" w:type="dxa"/>
            <w:vMerge w:val="continue"/>
            <w:noWrap w:val="0"/>
            <w:vAlign w:val="center"/>
          </w:tcPr>
          <w:p>
            <w:pPr>
              <w:rPr>
                <w:rFonts w:hint="eastAsia"/>
                <w:color w:val="000000"/>
                <w:sz w:val="24"/>
                <w:szCs w:val="24"/>
              </w:rPr>
            </w:pPr>
          </w:p>
        </w:tc>
        <w:tc>
          <w:tcPr>
            <w:tcW w:w="1441" w:type="dxa"/>
            <w:vMerge w:val="continue"/>
            <w:noWrap w:val="0"/>
            <w:vAlign w:val="center"/>
          </w:tcPr>
          <w:p>
            <w:pPr>
              <w:rPr>
                <w:rFonts w:hint="eastAsia"/>
                <w:color w:val="000000"/>
                <w:sz w:val="24"/>
                <w:szCs w:val="24"/>
              </w:rPr>
            </w:pPr>
          </w:p>
        </w:tc>
        <w:tc>
          <w:tcPr>
            <w:tcW w:w="8129" w:type="dxa"/>
            <w:noWrap w:val="0"/>
            <w:vAlign w:val="center"/>
          </w:tcPr>
          <w:p>
            <w:pPr>
              <w:rPr>
                <w:rFonts w:hint="eastAsia" w:ascii="宋体" w:hAnsi="宋体" w:eastAsia="宋体" w:cs="Times New Roman"/>
                <w:bCs/>
                <w:kern w:val="2"/>
                <w:sz w:val="24"/>
                <w:szCs w:val="24"/>
                <w:lang w:val="en-US" w:eastAsia="zh-CN" w:bidi="ar-SA"/>
              </w:rPr>
            </w:pPr>
            <w:r>
              <w:rPr>
                <w:rFonts w:hint="eastAsia"/>
                <w:sz w:val="24"/>
                <w:szCs w:val="24"/>
              </w:rPr>
              <w:t xml:space="preserve">★ </w:t>
            </w:r>
            <w:r>
              <w:rPr>
                <w:rFonts w:hint="eastAsia" w:ascii="宋体" w:hAnsi="宋体"/>
                <w:bCs/>
                <w:sz w:val="24"/>
                <w:szCs w:val="24"/>
              </w:rPr>
              <w:t>提供多病理号的整体查找和借出管理。</w:t>
            </w:r>
            <w:r>
              <w:rPr>
                <w:rFonts w:hint="eastAsia"/>
                <w:sz w:val="24"/>
                <w:szCs w:val="24"/>
                <w:lang w:eastAsia="zh-CN"/>
              </w:rPr>
              <w:t>（</w:t>
            </w:r>
            <w:r>
              <w:rPr>
                <w:rStyle w:val="7"/>
                <w:rFonts w:hint="eastAsia" w:ascii="宋体" w:hAnsi="宋体" w:eastAsia="宋体" w:cs="宋体"/>
                <w:sz w:val="24"/>
                <w:szCs w:val="24"/>
              </w:rPr>
              <w:t>须提供软件界面截屏图</w:t>
            </w:r>
            <w:r>
              <w:rPr>
                <w:rStyle w:val="7"/>
                <w:rFonts w:hint="eastAsia" w:ascii="宋体" w:hAnsi="宋体" w:cs="宋体"/>
                <w:sz w:val="24"/>
                <w:szCs w:val="24"/>
                <w:lang w:val="en-US" w:eastAsia="zh-C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trPr>
        <w:tc>
          <w:tcPr>
            <w:tcW w:w="555" w:type="dxa"/>
            <w:vMerge w:val="continue"/>
            <w:noWrap w:val="0"/>
            <w:vAlign w:val="center"/>
          </w:tcPr>
          <w:p>
            <w:pPr>
              <w:rPr>
                <w:rFonts w:hint="eastAsia"/>
                <w:color w:val="000000"/>
                <w:sz w:val="24"/>
                <w:szCs w:val="24"/>
              </w:rPr>
            </w:pPr>
          </w:p>
        </w:tc>
        <w:tc>
          <w:tcPr>
            <w:tcW w:w="1441" w:type="dxa"/>
            <w:vMerge w:val="continue"/>
            <w:noWrap w:val="0"/>
            <w:vAlign w:val="center"/>
          </w:tcPr>
          <w:p>
            <w:pPr>
              <w:rPr>
                <w:rFonts w:hint="eastAsia"/>
                <w:color w:val="000000"/>
                <w:sz w:val="24"/>
                <w:szCs w:val="24"/>
              </w:rPr>
            </w:pPr>
          </w:p>
        </w:tc>
        <w:tc>
          <w:tcPr>
            <w:tcW w:w="8129" w:type="dxa"/>
            <w:noWrap w:val="0"/>
            <w:vAlign w:val="center"/>
          </w:tcPr>
          <w:p>
            <w:pPr>
              <w:rPr>
                <w:rFonts w:hint="eastAsia" w:ascii="宋体" w:hAnsi="宋体" w:eastAsia="宋体" w:cs="Times New Roman"/>
                <w:bCs/>
                <w:kern w:val="2"/>
                <w:sz w:val="24"/>
                <w:szCs w:val="24"/>
                <w:lang w:val="en-US" w:eastAsia="zh-CN" w:bidi="ar-SA"/>
              </w:rPr>
            </w:pPr>
            <w:r>
              <w:rPr>
                <w:rFonts w:hint="eastAsia" w:ascii="宋体" w:hAnsi="宋体"/>
                <w:bCs/>
                <w:sz w:val="24"/>
                <w:szCs w:val="24"/>
              </w:rPr>
              <w:t>打印借片凭证。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trPr>
        <w:tc>
          <w:tcPr>
            <w:tcW w:w="555" w:type="dxa"/>
            <w:vMerge w:val="continue"/>
            <w:noWrap w:val="0"/>
            <w:vAlign w:val="center"/>
          </w:tcPr>
          <w:p>
            <w:pPr>
              <w:rPr>
                <w:rFonts w:hint="eastAsia"/>
                <w:color w:val="000000"/>
                <w:sz w:val="24"/>
                <w:szCs w:val="24"/>
              </w:rPr>
            </w:pPr>
          </w:p>
        </w:tc>
        <w:tc>
          <w:tcPr>
            <w:tcW w:w="1441" w:type="dxa"/>
            <w:vMerge w:val="continue"/>
            <w:noWrap w:val="0"/>
            <w:vAlign w:val="center"/>
          </w:tcPr>
          <w:p>
            <w:pPr>
              <w:rPr>
                <w:rFonts w:hint="eastAsia"/>
                <w:color w:val="000000"/>
                <w:sz w:val="24"/>
                <w:szCs w:val="24"/>
              </w:rPr>
            </w:pPr>
          </w:p>
        </w:tc>
        <w:tc>
          <w:tcPr>
            <w:tcW w:w="8129" w:type="dxa"/>
            <w:noWrap w:val="0"/>
            <w:vAlign w:val="center"/>
          </w:tcPr>
          <w:p>
            <w:pPr>
              <w:rPr>
                <w:rFonts w:hint="eastAsia" w:ascii="Times New Roman" w:hAnsi="Times New Roman" w:eastAsia="宋体" w:cs="Times New Roman"/>
                <w:kern w:val="2"/>
                <w:sz w:val="24"/>
                <w:szCs w:val="24"/>
                <w:lang w:val="en-US" w:eastAsia="zh-CN" w:bidi="ar-SA"/>
              </w:rPr>
            </w:pPr>
            <w:r>
              <w:rPr>
                <w:rFonts w:hint="eastAsia"/>
                <w:sz w:val="24"/>
                <w:szCs w:val="24"/>
              </w:rPr>
              <w:t>还片时记录外院会诊意见，并返回给综合报告工作站供病理医生查看。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555" w:type="dxa"/>
            <w:noWrap w:val="0"/>
            <w:vAlign w:val="center"/>
          </w:tcPr>
          <w:p>
            <w:pPr>
              <w:numPr>
                <w:ilvl w:val="0"/>
                <w:numId w:val="0"/>
              </w:numPr>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5</w:t>
            </w:r>
          </w:p>
        </w:tc>
        <w:tc>
          <w:tcPr>
            <w:tcW w:w="1441"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集成平台</w:t>
            </w:r>
            <w:r>
              <w:rPr>
                <w:rFonts w:hint="eastAsia" w:ascii="宋体" w:hAnsi="宋体" w:eastAsia="宋体" w:cs="宋体"/>
                <w:kern w:val="0"/>
                <w:sz w:val="24"/>
                <w:szCs w:val="24"/>
              </w:rPr>
              <w:t>系统双向接口</w:t>
            </w:r>
          </w:p>
          <w:p>
            <w:pPr>
              <w:widowControl/>
              <w:jc w:val="center"/>
              <w:rPr>
                <w:rFonts w:hint="eastAsia" w:ascii="宋体" w:hAnsi="宋体" w:eastAsia="宋体" w:cs="宋体"/>
                <w:kern w:val="0"/>
                <w:sz w:val="24"/>
                <w:szCs w:val="24"/>
              </w:rPr>
            </w:pPr>
          </w:p>
        </w:tc>
        <w:tc>
          <w:tcPr>
            <w:tcW w:w="8129" w:type="dxa"/>
            <w:noWrap w:val="0"/>
            <w:vAlign w:val="center"/>
          </w:tcPr>
          <w:p>
            <w:pPr>
              <w:rPr>
                <w:rFonts w:hint="eastAsia" w:ascii="宋体" w:hAnsi="宋体" w:eastAsia="宋体" w:cs="宋体"/>
                <w:kern w:val="0"/>
                <w:sz w:val="24"/>
                <w:szCs w:val="24"/>
              </w:rPr>
            </w:pPr>
            <w:r>
              <w:rPr>
                <w:rFonts w:hint="eastAsia" w:ascii="宋体" w:hAnsi="宋体" w:eastAsia="宋体" w:cs="宋体"/>
                <w:color w:val="000000"/>
                <w:sz w:val="24"/>
                <w:szCs w:val="24"/>
                <w:lang w:val="en-US" w:eastAsia="zh-CN"/>
              </w:rPr>
              <w:t>通过和集成平台系统做对接，</w:t>
            </w:r>
            <w:r>
              <w:rPr>
                <w:rFonts w:hint="eastAsia" w:ascii="宋体" w:hAnsi="宋体" w:eastAsia="宋体" w:cs="宋体"/>
                <w:kern w:val="0"/>
                <w:sz w:val="24"/>
                <w:szCs w:val="24"/>
              </w:rPr>
              <w:t>从医院</w:t>
            </w:r>
            <w:r>
              <w:rPr>
                <w:rFonts w:hint="eastAsia" w:ascii="宋体" w:hAnsi="宋体" w:eastAsia="宋体" w:cs="宋体"/>
                <w:kern w:val="0"/>
                <w:sz w:val="24"/>
                <w:szCs w:val="24"/>
                <w:lang w:val="en-US" w:eastAsia="zh-CN"/>
              </w:rPr>
              <w:t>集成平台</w:t>
            </w:r>
            <w:r>
              <w:rPr>
                <w:rFonts w:hint="eastAsia" w:ascii="宋体" w:hAnsi="宋体" w:eastAsia="宋体" w:cs="宋体"/>
                <w:kern w:val="0"/>
                <w:sz w:val="24"/>
                <w:szCs w:val="24"/>
              </w:rPr>
              <w:t>系统中提取病人基本信息或电子申请单信息；将审核过后的病理报告或未发报告原因发送到</w:t>
            </w:r>
            <w:r>
              <w:rPr>
                <w:rFonts w:hint="eastAsia" w:ascii="宋体" w:hAnsi="宋体" w:eastAsia="宋体" w:cs="宋体"/>
                <w:kern w:val="0"/>
                <w:sz w:val="24"/>
                <w:szCs w:val="24"/>
                <w:lang w:val="en-US" w:eastAsia="zh-CN"/>
              </w:rPr>
              <w:t>集成平台</w:t>
            </w:r>
            <w:r>
              <w:rPr>
                <w:rFonts w:hint="eastAsia" w:ascii="宋体" w:hAnsi="宋体" w:eastAsia="宋体" w:cs="宋体"/>
                <w:kern w:val="0"/>
                <w:sz w:val="24"/>
                <w:szCs w:val="24"/>
              </w:rPr>
              <w:t>系统中，通过</w:t>
            </w:r>
            <w:r>
              <w:rPr>
                <w:rFonts w:hint="eastAsia" w:ascii="宋体" w:hAnsi="宋体" w:eastAsia="宋体" w:cs="宋体"/>
                <w:kern w:val="0"/>
                <w:sz w:val="24"/>
                <w:szCs w:val="24"/>
                <w:lang w:val="en-US" w:eastAsia="zh-CN"/>
              </w:rPr>
              <w:t>集成平台</w:t>
            </w:r>
            <w:r>
              <w:rPr>
                <w:rFonts w:hint="eastAsia" w:ascii="宋体" w:hAnsi="宋体" w:eastAsia="宋体" w:cs="宋体"/>
                <w:kern w:val="0"/>
                <w:sz w:val="24"/>
                <w:szCs w:val="24"/>
              </w:rPr>
              <w:t>系统的浏览工作站提供给临床查看。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5" w:hRule="atLeast"/>
        </w:trPr>
        <w:tc>
          <w:tcPr>
            <w:tcW w:w="555" w:type="dxa"/>
            <w:noWrap w:val="0"/>
            <w:vAlign w:val="center"/>
          </w:tcPr>
          <w:p>
            <w:pPr>
              <w:numPr>
                <w:ilvl w:val="0"/>
                <w:numId w:val="0"/>
              </w:numPr>
              <w:ind w:lef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6</w:t>
            </w:r>
          </w:p>
        </w:tc>
        <w:tc>
          <w:tcPr>
            <w:tcW w:w="1441"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电子病历调阅接口</w:t>
            </w:r>
          </w:p>
        </w:tc>
        <w:tc>
          <w:tcPr>
            <w:tcW w:w="8129" w:type="dxa"/>
            <w:noWrap w:val="0"/>
            <w:vAlign w:val="center"/>
          </w:tcPr>
          <w:p>
            <w:pPr>
              <w:rPr>
                <w:rFonts w:hint="eastAsia" w:ascii="宋体" w:hAnsi="宋体" w:eastAsia="宋体" w:cs="宋体"/>
                <w:kern w:val="0"/>
                <w:sz w:val="24"/>
                <w:szCs w:val="24"/>
              </w:rPr>
            </w:pPr>
            <w:r>
              <w:rPr>
                <w:rFonts w:hint="eastAsia" w:ascii="宋体" w:hAnsi="宋体" w:eastAsia="宋体" w:cs="宋体"/>
                <w:color w:val="000000"/>
                <w:sz w:val="24"/>
                <w:szCs w:val="24"/>
                <w:lang w:val="en-US" w:eastAsia="zh-CN"/>
              </w:rPr>
              <w:t>通过和电子病历系统做对接，</w:t>
            </w:r>
            <w:r>
              <w:rPr>
                <w:rFonts w:hint="eastAsia" w:ascii="宋体" w:hAnsi="宋体" w:eastAsia="宋体" w:cs="宋体"/>
                <w:kern w:val="0"/>
                <w:sz w:val="24"/>
                <w:szCs w:val="24"/>
              </w:rPr>
              <w:t>调阅电子病历浏览端，实现病理医生查看临床资料或其他检查结果的功能。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5" w:hRule="atLeast"/>
        </w:trPr>
        <w:tc>
          <w:tcPr>
            <w:tcW w:w="555" w:type="dxa"/>
            <w:noWrap w:val="0"/>
            <w:vAlign w:val="center"/>
          </w:tcPr>
          <w:p>
            <w:pPr>
              <w:numPr>
                <w:ilvl w:val="0"/>
                <w:numId w:val="0"/>
              </w:numPr>
              <w:ind w:leftChars="0"/>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17</w:t>
            </w:r>
          </w:p>
        </w:tc>
        <w:tc>
          <w:tcPr>
            <w:tcW w:w="1441" w:type="dxa"/>
            <w:noWrap w:val="0"/>
            <w:vAlign w:val="center"/>
          </w:tcPr>
          <w:p>
            <w:pPr>
              <w:widowControl/>
              <w:jc w:val="center"/>
              <w:rPr>
                <w:rFonts w:hAnsi="宋体"/>
                <w:kern w:val="0"/>
                <w:sz w:val="24"/>
                <w:szCs w:val="24"/>
              </w:rPr>
            </w:pPr>
            <w:r>
              <w:rPr>
                <w:rFonts w:hint="eastAsia" w:hAnsi="宋体"/>
                <w:kern w:val="0"/>
                <w:sz w:val="24"/>
                <w:szCs w:val="24"/>
              </w:rPr>
              <w:t>门诊自助打印系统接口</w:t>
            </w:r>
          </w:p>
          <w:p>
            <w:pPr>
              <w:widowControl/>
              <w:jc w:val="center"/>
              <w:rPr>
                <w:rFonts w:hint="eastAsia" w:ascii="宋体" w:hAnsi="宋体" w:eastAsia="宋体" w:cs="宋体"/>
                <w:kern w:val="0"/>
                <w:sz w:val="24"/>
                <w:szCs w:val="24"/>
              </w:rPr>
            </w:pPr>
          </w:p>
        </w:tc>
        <w:tc>
          <w:tcPr>
            <w:tcW w:w="8129" w:type="dxa"/>
            <w:noWrap w:val="0"/>
            <w:vAlign w:val="center"/>
          </w:tcPr>
          <w:p>
            <w:pPr>
              <w:rPr>
                <w:rFonts w:hint="eastAsia" w:ascii="宋体" w:hAnsi="宋体" w:eastAsia="宋体" w:cs="宋体"/>
                <w:color w:val="000000"/>
                <w:sz w:val="24"/>
                <w:szCs w:val="24"/>
                <w:lang w:val="en-US" w:eastAsia="zh-CN"/>
              </w:rPr>
            </w:pPr>
            <w:r>
              <w:rPr>
                <w:rFonts w:hint="eastAsia"/>
                <w:kern w:val="0"/>
                <w:sz w:val="24"/>
                <w:szCs w:val="24"/>
              </w:rPr>
              <w:t>将审核后的</w:t>
            </w:r>
            <w:r>
              <w:rPr>
                <w:kern w:val="0"/>
                <w:sz w:val="24"/>
                <w:szCs w:val="24"/>
              </w:rPr>
              <w:t>病理报告</w:t>
            </w:r>
            <w:r>
              <w:rPr>
                <w:rFonts w:hint="eastAsia"/>
                <w:kern w:val="0"/>
                <w:sz w:val="24"/>
                <w:szCs w:val="24"/>
              </w:rPr>
              <w:t>P</w:t>
            </w:r>
            <w:r>
              <w:rPr>
                <w:kern w:val="0"/>
                <w:sz w:val="24"/>
                <w:szCs w:val="24"/>
              </w:rPr>
              <w:t>DF</w:t>
            </w:r>
            <w:r>
              <w:rPr>
                <w:rFonts w:hint="eastAsia"/>
                <w:kern w:val="0"/>
                <w:sz w:val="24"/>
                <w:szCs w:val="24"/>
              </w:rPr>
              <w:t>和相关地址提供给自助打印系统，由医院</w:t>
            </w:r>
            <w:r>
              <w:rPr>
                <w:kern w:val="0"/>
                <w:sz w:val="24"/>
                <w:szCs w:val="24"/>
              </w:rPr>
              <w:t>统一的</w:t>
            </w:r>
            <w:r>
              <w:rPr>
                <w:rFonts w:hint="eastAsia"/>
                <w:kern w:val="0"/>
                <w:sz w:val="24"/>
                <w:szCs w:val="24"/>
              </w:rPr>
              <w:t>自助</w:t>
            </w:r>
            <w:r>
              <w:rPr>
                <w:kern w:val="0"/>
                <w:sz w:val="24"/>
                <w:szCs w:val="24"/>
              </w:rPr>
              <w:t>打印系统中来查询并打印病理报告。</w:t>
            </w:r>
          </w:p>
        </w:tc>
      </w:tr>
    </w:tbl>
    <w:p>
      <w:r>
        <w:br w:type="page"/>
      </w:r>
    </w:p>
    <w:p>
      <w:pPr>
        <w:pStyle w:val="4"/>
        <w:spacing w:before="0" w:beforeAutospacing="0" w:after="150" w:afterAutospacing="0"/>
        <w:ind w:left="-180" w:right="-180" w:firstLine="480"/>
      </w:pPr>
      <w:r>
        <w:rPr>
          <w:rFonts w:hint="eastAsia"/>
        </w:rPr>
        <w:t>①价格项（</w:t>
      </w:r>
      <w:r>
        <w:rPr>
          <w:rFonts w:ascii="Calibri" w:hAnsi="Calibri" w:cs="Calibri"/>
        </w:rPr>
        <w:t>F1</w:t>
      </w:r>
      <w:r>
        <w:rPr>
          <w:rFonts w:hint="eastAsia"/>
        </w:rPr>
        <w:t>×</w:t>
      </w:r>
      <w:r>
        <w:rPr>
          <w:rFonts w:ascii="Calibri" w:hAnsi="Calibri" w:cs="Calibri"/>
        </w:rPr>
        <w:t>A1</w:t>
      </w:r>
      <w:r>
        <w:rPr>
          <w:rFonts w:hint="eastAsia"/>
        </w:rPr>
        <w:t>）满分为</w:t>
      </w:r>
      <w:r>
        <w:rPr>
          <w:rFonts w:hint="eastAsia"/>
          <w:u w:val="single"/>
        </w:rPr>
        <w:t>10</w:t>
      </w:r>
      <w:r>
        <w:rPr>
          <w:rFonts w:hint="eastAsia"/>
        </w:rPr>
        <w:t>分。</w:t>
      </w:r>
    </w:p>
    <w:p>
      <w:pPr>
        <w:pStyle w:val="4"/>
        <w:spacing w:before="0" w:beforeAutospacing="0" w:after="150" w:afterAutospacing="0"/>
        <w:ind w:left="-180" w:right="-180" w:firstLine="480"/>
      </w:pPr>
      <w:r>
        <w:rPr>
          <w:rFonts w:hint="eastAsia"/>
        </w:rPr>
        <w:t>a.价格分采用低价优先法计算，即满足招标文件要求且投标价格最低的投标报价为评标基准价，其价格分为满分。其他投标人的价格分统一按照下列公式计算：投标报价得分</w:t>
      </w:r>
      <w:r>
        <w:rPr>
          <w:rFonts w:ascii="Calibri" w:hAnsi="Calibri" w:cs="Calibri"/>
        </w:rPr>
        <w:t>=</w:t>
      </w:r>
      <w:r>
        <w:rPr>
          <w:rFonts w:hint="eastAsia"/>
        </w:rPr>
        <w:t>（评标基准价／投标报价）×</w:t>
      </w:r>
      <w:r>
        <w:rPr>
          <w:rFonts w:ascii="Calibri" w:hAnsi="Calibri" w:cs="Calibri"/>
        </w:rPr>
        <w:t>100</w:t>
      </w:r>
      <w:r>
        <w:rPr>
          <w:rFonts w:hint="eastAsia"/>
        </w:rPr>
        <w:t>。因落实政府采购政策需进行价格扣除的，以扣除后的价格计算评标基准价和投标报价。</w:t>
      </w:r>
    </w:p>
    <w:p>
      <w:pPr>
        <w:pStyle w:val="4"/>
        <w:spacing w:before="0" w:beforeAutospacing="0" w:after="150" w:afterAutospacing="0"/>
        <w:ind w:left="-180" w:right="-180" w:firstLine="480"/>
      </w:pPr>
      <w:r>
        <w:rPr>
          <w:rFonts w:ascii="Calibri" w:hAnsi="Calibri" w:cs="Calibri"/>
        </w:rPr>
        <w:t>b.</w:t>
      </w:r>
      <w:r>
        <w:rPr>
          <w:rFonts w:hint="eastAsia"/>
        </w:rPr>
        <w:t>价格扣除的规则如下：</w:t>
      </w:r>
    </w:p>
    <w:p>
      <w:pPr>
        <w:pStyle w:val="4"/>
        <w:spacing w:before="0" w:beforeAutospacing="0" w:after="150" w:afterAutospacing="0"/>
        <w:ind w:left="-180" w:right="-180" w:firstLine="480"/>
      </w:pPr>
      <w:r>
        <w:rPr>
          <w:rFonts w:hint="eastAsia"/>
        </w:rPr>
        <w:t>②技术项（</w:t>
      </w:r>
      <w:r>
        <w:rPr>
          <w:rFonts w:ascii="Calibri" w:hAnsi="Calibri" w:cs="Calibri"/>
        </w:rPr>
        <w:t>F2</w:t>
      </w:r>
      <w:r>
        <w:rPr>
          <w:rFonts w:hint="eastAsia"/>
        </w:rPr>
        <w:t>×</w:t>
      </w:r>
      <w:r>
        <w:rPr>
          <w:rFonts w:ascii="Calibri" w:hAnsi="Calibri" w:cs="Calibri"/>
        </w:rPr>
        <w:t>A2</w:t>
      </w:r>
      <w:r>
        <w:rPr>
          <w:rFonts w:hint="eastAsia"/>
        </w:rPr>
        <w:t>）满分为</w:t>
      </w:r>
      <w:r>
        <w:rPr>
          <w:rFonts w:hint="eastAsia"/>
          <w:u w:val="single"/>
        </w:rPr>
        <w:t>6</w:t>
      </w:r>
      <w:r>
        <w:rPr>
          <w:rFonts w:hint="eastAsia"/>
          <w:u w:val="single"/>
          <w:lang w:val="en-US" w:eastAsia="zh-CN"/>
        </w:rPr>
        <w:t>5</w:t>
      </w:r>
      <w:r>
        <w:rPr>
          <w:rFonts w:hint="eastAsia"/>
        </w:rPr>
        <w:t>分。</w:t>
      </w:r>
    </w:p>
    <w:tbl>
      <w:tblPr>
        <w:tblStyle w:val="5"/>
        <w:tblW w:w="0" w:type="auto"/>
        <w:tblInd w:w="-1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06"/>
        <w:gridCol w:w="709"/>
        <w:gridCol w:w="61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16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szCs w:val="24"/>
                <w:lang w:bidi="ar"/>
              </w:rPr>
              <w:t>评标项目</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szCs w:val="24"/>
                <w:lang w:bidi="ar"/>
              </w:rPr>
              <w:t>评标分值</w:t>
            </w:r>
          </w:p>
        </w:tc>
        <w:tc>
          <w:tcPr>
            <w:tcW w:w="618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szCs w:val="24"/>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szCs w:val="24"/>
                <w:lang w:bidi="ar"/>
              </w:rPr>
            </w:pPr>
            <w:r>
              <w:rPr>
                <w:rFonts w:ascii="宋体" w:hAnsi="宋体" w:eastAsia="宋体" w:cs="宋体"/>
                <w:kern w:val="0"/>
                <w:sz w:val="24"/>
                <w:szCs w:val="24"/>
                <w:lang w:bidi="ar"/>
              </w:rPr>
              <w:t>1、</w:t>
            </w:r>
            <w:r>
              <w:rPr>
                <w:rFonts w:hint="eastAsia" w:ascii="宋体" w:hAnsi="宋体" w:eastAsia="宋体" w:cs="宋体"/>
                <w:kern w:val="0"/>
                <w:sz w:val="24"/>
                <w:szCs w:val="24"/>
                <w:lang w:bidi="ar"/>
              </w:rPr>
              <w:t>技术要求</w:t>
            </w:r>
            <w:r>
              <w:rPr>
                <w:rFonts w:ascii="宋体" w:hAnsi="宋体" w:eastAsia="宋体" w:cs="宋体"/>
                <w:kern w:val="0"/>
                <w:sz w:val="24"/>
                <w:szCs w:val="24"/>
                <w:lang w:bidi="ar"/>
              </w:rPr>
              <w:t>响应情况</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eastAsia="宋体"/>
                <w:lang w:eastAsia="zh-CN"/>
              </w:rPr>
            </w:pPr>
            <w:r>
              <w:rPr>
                <w:rFonts w:ascii="宋体" w:hAnsi="宋体" w:eastAsia="宋体" w:cs="宋体"/>
                <w:kern w:val="0"/>
                <w:sz w:val="24"/>
                <w:szCs w:val="24"/>
                <w:lang w:bidi="ar"/>
              </w:rPr>
              <w:t>5</w:t>
            </w:r>
            <w:r>
              <w:rPr>
                <w:rFonts w:hint="eastAsia" w:ascii="宋体" w:hAnsi="宋体" w:eastAsia="宋体" w:cs="宋体"/>
                <w:kern w:val="0"/>
                <w:sz w:val="24"/>
                <w:szCs w:val="24"/>
                <w:lang w:val="en-US" w:eastAsia="zh-CN" w:bidi="ar"/>
              </w:rPr>
              <w:t>3</w:t>
            </w:r>
          </w:p>
        </w:tc>
        <w:tc>
          <w:tcPr>
            <w:tcW w:w="618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szCs w:val="24"/>
                <w:lang w:bidi="ar"/>
              </w:rPr>
            </w:pPr>
            <w:r>
              <w:rPr>
                <w:rFonts w:ascii="宋体" w:hAnsi="宋体" w:eastAsia="宋体" w:cs="宋体"/>
                <w:kern w:val="0"/>
                <w:sz w:val="24"/>
                <w:szCs w:val="24"/>
                <w:lang w:bidi="ar"/>
              </w:rPr>
              <w:t>根对照用户需求书的技术功能要求部分，满足所有要求得满分；</w:t>
            </w:r>
          </w:p>
          <w:p>
            <w:pPr>
              <w:widowControl/>
              <w:jc w:val="left"/>
              <w:rPr>
                <w:rFonts w:hint="eastAsia"/>
                <w:kern w:val="0"/>
                <w:szCs w:val="21"/>
              </w:rPr>
            </w:pPr>
            <w:r>
              <w:rPr>
                <w:rStyle w:val="7"/>
                <w:rFonts w:hint="eastAsia" w:ascii="宋体" w:hAnsi="宋体" w:eastAsia="宋体" w:cs="宋体"/>
                <w:sz w:val="24"/>
                <w:szCs w:val="24"/>
              </w:rPr>
              <w:t>带★的参数（共计</w:t>
            </w:r>
            <w:r>
              <w:rPr>
                <w:rStyle w:val="7"/>
                <w:rFonts w:hint="eastAsia" w:ascii="宋体" w:hAnsi="宋体" w:eastAsia="宋体" w:cs="宋体"/>
                <w:sz w:val="24"/>
                <w:szCs w:val="24"/>
                <w:lang w:val="en-US" w:eastAsia="zh-CN"/>
              </w:rPr>
              <w:t>6</w:t>
            </w:r>
            <w:r>
              <w:rPr>
                <w:rStyle w:val="7"/>
                <w:rFonts w:hint="eastAsia" w:ascii="宋体" w:hAnsi="宋体" w:eastAsia="宋体" w:cs="宋体"/>
                <w:sz w:val="24"/>
                <w:szCs w:val="24"/>
              </w:rPr>
              <w:t>项）不允许负偏离，否则为无效投标。带“▲”的参数为重要参数，每负偏离一项扣 1.25分（每条参数均须提供软件界面截屏图进行证明）；不带“▲”的参数，每负偏离一项扣0.5分，扣完为止。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szCs w:val="24"/>
                <w:lang w:bidi="ar"/>
              </w:rPr>
            </w:pPr>
            <w:r>
              <w:rPr>
                <w:rFonts w:ascii="宋体" w:hAnsi="宋体" w:eastAsia="宋体" w:cs="宋体"/>
                <w:kern w:val="0"/>
                <w:sz w:val="24"/>
                <w:szCs w:val="24"/>
                <w:lang w:bidi="ar"/>
              </w:rPr>
              <w:t>2、</w:t>
            </w:r>
            <w:r>
              <w:rPr>
                <w:rFonts w:hint="eastAsia" w:ascii="宋体" w:hAnsi="宋体" w:eastAsia="宋体" w:cs="宋体"/>
                <w:kern w:val="0"/>
                <w:sz w:val="24"/>
                <w:szCs w:val="24"/>
                <w:lang w:bidi="ar"/>
              </w:rPr>
              <w:t>项目实施方案</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sz w:val="24"/>
                <w:szCs w:val="24"/>
              </w:rPr>
            </w:pPr>
            <w:r>
              <w:rPr>
                <w:sz w:val="24"/>
                <w:szCs w:val="24"/>
              </w:rPr>
              <w:t>3</w:t>
            </w:r>
          </w:p>
        </w:tc>
        <w:tc>
          <w:tcPr>
            <w:tcW w:w="618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szCs w:val="24"/>
                <w:lang w:bidi="ar"/>
              </w:rPr>
            </w:pPr>
            <w:r>
              <w:rPr>
                <w:rFonts w:hint="eastAsia" w:ascii="宋体" w:hAnsi="宋体" w:eastAsia="宋体" w:cs="宋体"/>
                <w:kern w:val="0"/>
                <w:sz w:val="24"/>
                <w:szCs w:val="24"/>
                <w:lang w:bidi="ar"/>
              </w:rPr>
              <w:t>根据投标人拟定的与本项目相关的项目实施方案（包括但不限于：项目实施计划、培训计划、验收方案、实施周期、需采购人配合内容、可能存在的风险及对策等内容）由评委进行评分：方案在满足基本要求基础上增加有利于项目实施的得3分；方案只是满足基本要求的得2分；方案内容未完全响应基本要求存在缺项的得1分。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szCs w:val="24"/>
                <w:lang w:bidi="ar"/>
              </w:rPr>
            </w:pPr>
            <w:r>
              <w:rPr>
                <w:rFonts w:ascii="宋体" w:hAnsi="宋体" w:eastAsia="宋体" w:cs="宋体"/>
                <w:kern w:val="0"/>
                <w:sz w:val="24"/>
                <w:szCs w:val="24"/>
                <w:lang w:bidi="ar"/>
              </w:rPr>
              <w:t>3</w:t>
            </w:r>
            <w:r>
              <w:rPr>
                <w:rFonts w:hint="eastAsia" w:ascii="宋体" w:hAnsi="宋体" w:eastAsia="宋体" w:cs="宋体"/>
                <w:kern w:val="0"/>
                <w:sz w:val="24"/>
                <w:szCs w:val="24"/>
                <w:lang w:bidi="ar"/>
              </w:rPr>
              <w:t>、集成平台集成能力</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szCs w:val="24"/>
                <w:lang w:bidi="ar"/>
              </w:rPr>
            </w:pPr>
            <w:r>
              <w:rPr>
                <w:rFonts w:ascii="宋体" w:hAnsi="宋体" w:eastAsia="宋体" w:cs="宋体"/>
                <w:kern w:val="0"/>
                <w:sz w:val="24"/>
                <w:szCs w:val="24"/>
                <w:lang w:bidi="ar"/>
              </w:rPr>
              <w:t>3</w:t>
            </w:r>
          </w:p>
        </w:tc>
        <w:tc>
          <w:tcPr>
            <w:tcW w:w="618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kern w:val="0"/>
                <w:sz w:val="24"/>
                <w:szCs w:val="24"/>
                <w:lang w:bidi="ar"/>
              </w:rPr>
            </w:pPr>
            <w:r>
              <w:rPr>
                <w:rFonts w:hint="eastAsia" w:ascii="宋体" w:hAnsi="宋体" w:eastAsia="宋体" w:cs="宋体"/>
                <w:kern w:val="0"/>
                <w:sz w:val="24"/>
                <w:szCs w:val="24"/>
                <w:lang w:bidi="ar"/>
              </w:rPr>
              <w:t>投标人所投产品具有不同品牌集成平台接口案例的，具有1-2种的得1分，具有3-4种的得2分，具有</w:t>
            </w:r>
            <w:r>
              <w:rPr>
                <w:rFonts w:ascii="宋体" w:hAnsi="宋体" w:eastAsia="宋体" w:cs="宋体"/>
                <w:kern w:val="0"/>
                <w:sz w:val="24"/>
                <w:szCs w:val="24"/>
                <w:lang w:bidi="ar"/>
              </w:rPr>
              <w:t>5种及以上得</w:t>
            </w:r>
            <w:r>
              <w:rPr>
                <w:rFonts w:hint="eastAsia" w:ascii="宋体" w:hAnsi="宋体" w:eastAsia="宋体" w:cs="宋体"/>
                <w:kern w:val="0"/>
                <w:sz w:val="24"/>
                <w:szCs w:val="24"/>
                <w:lang w:bidi="ar"/>
              </w:rPr>
              <w:t>3</w:t>
            </w:r>
            <w:r>
              <w:rPr>
                <w:rFonts w:ascii="宋体" w:hAnsi="宋体" w:eastAsia="宋体" w:cs="宋体"/>
                <w:kern w:val="0"/>
                <w:sz w:val="24"/>
                <w:szCs w:val="24"/>
                <w:lang w:bidi="ar"/>
              </w:rPr>
              <w:t>分。</w:t>
            </w:r>
            <w:r>
              <w:rPr>
                <w:rFonts w:hint="eastAsia" w:ascii="宋体" w:hAnsi="宋体" w:eastAsia="宋体" w:cs="宋体"/>
                <w:kern w:val="0"/>
                <w:sz w:val="24"/>
                <w:szCs w:val="24"/>
                <w:lang w:bidi="ar"/>
              </w:rPr>
              <w:t>（须提供所投产品项目合同复印件以及业主单位盖章的接口证明复印件（标明集成品牌））。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4、技术方案</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3</w:t>
            </w:r>
          </w:p>
        </w:tc>
        <w:tc>
          <w:tcPr>
            <w:tcW w:w="618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根据投标人拟定的与本项目相关的技术方案（包括但不限于：详细阐述系统总体架构的可扩展性、易用性以及系统开发的标准规范、系统配置的通用性、稳定性、安全性等情况）由评委进行评分：方案在满足基本要求基础上增加有利于项目实施的得3分；方案只是满足基本要求的得2分；方案内容未完全响应基本要求存在缺项的得1分。未提供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0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szCs w:val="24"/>
                <w:lang w:bidi="ar"/>
              </w:rPr>
            </w:pPr>
            <w:r>
              <w:rPr>
                <w:rFonts w:ascii="宋体" w:hAnsi="宋体" w:eastAsia="宋体" w:cs="宋体"/>
                <w:kern w:val="0"/>
                <w:sz w:val="24"/>
                <w:szCs w:val="24"/>
                <w:lang w:bidi="ar"/>
              </w:rPr>
              <w:t>5</w:t>
            </w:r>
            <w:r>
              <w:rPr>
                <w:rFonts w:hint="eastAsia" w:ascii="宋体" w:hAnsi="宋体" w:eastAsia="宋体" w:cs="宋体"/>
                <w:kern w:val="0"/>
                <w:sz w:val="24"/>
                <w:szCs w:val="24"/>
                <w:lang w:bidi="ar"/>
              </w:rPr>
              <w:t>、</w:t>
            </w:r>
            <w:r>
              <w:rPr>
                <w:rFonts w:ascii="宋体" w:hAnsi="宋体" w:eastAsia="宋体" w:cs="宋体"/>
                <w:kern w:val="0"/>
                <w:sz w:val="24"/>
                <w:szCs w:val="24"/>
                <w:lang w:bidi="ar"/>
              </w:rPr>
              <w:t>多区域集成经验</w:t>
            </w:r>
          </w:p>
        </w:tc>
        <w:tc>
          <w:tcPr>
            <w:tcW w:w="7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hint="eastAsia" w:ascii="宋体" w:hAnsi="宋体" w:eastAsia="宋体" w:cs="宋体"/>
                <w:kern w:val="0"/>
                <w:sz w:val="24"/>
                <w:szCs w:val="24"/>
                <w:lang w:bidi="ar"/>
              </w:rPr>
            </w:pPr>
            <w:r>
              <w:rPr>
                <w:rFonts w:ascii="宋体" w:hAnsi="宋体" w:eastAsia="宋体" w:cs="宋体"/>
                <w:kern w:val="0"/>
                <w:sz w:val="24"/>
                <w:szCs w:val="24"/>
                <w:lang w:bidi="ar"/>
              </w:rPr>
              <w:t>3</w:t>
            </w:r>
          </w:p>
        </w:tc>
        <w:tc>
          <w:tcPr>
            <w:tcW w:w="618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未来医院有规划区域病理平台，如</w:t>
            </w:r>
            <w:r>
              <w:rPr>
                <w:rFonts w:ascii="宋体" w:hAnsi="宋体" w:eastAsia="宋体" w:cs="宋体"/>
                <w:kern w:val="0"/>
                <w:sz w:val="24"/>
                <w:szCs w:val="24"/>
                <w:lang w:bidi="ar"/>
              </w:rPr>
              <w:t>提供方案及产品具有区域化的扩展能力，提供区域病理云平台系统成功案例证明材料（合同</w:t>
            </w:r>
            <w:r>
              <w:rPr>
                <w:rFonts w:hint="eastAsia" w:ascii="宋体" w:hAnsi="宋体" w:eastAsia="宋体" w:cs="宋体"/>
                <w:kern w:val="0"/>
                <w:sz w:val="24"/>
                <w:szCs w:val="24"/>
                <w:lang w:bidi="ar"/>
              </w:rPr>
              <w:t>及</w:t>
            </w:r>
            <w:r>
              <w:rPr>
                <w:rFonts w:ascii="宋体" w:hAnsi="宋体" w:eastAsia="宋体" w:cs="宋体"/>
                <w:kern w:val="0"/>
                <w:sz w:val="24"/>
                <w:szCs w:val="24"/>
                <w:lang w:bidi="ar"/>
              </w:rPr>
              <w:t>验收单</w:t>
            </w:r>
            <w:r>
              <w:rPr>
                <w:rFonts w:hint="eastAsia" w:ascii="宋体" w:hAnsi="宋体" w:eastAsia="宋体" w:cs="宋体"/>
                <w:kern w:val="0"/>
                <w:sz w:val="24"/>
                <w:szCs w:val="24"/>
                <w:lang w:bidi="ar"/>
              </w:rPr>
              <w:t>复印件</w:t>
            </w:r>
            <w:r>
              <w:rPr>
                <w:rFonts w:ascii="宋体" w:hAnsi="宋体" w:eastAsia="宋体" w:cs="宋体"/>
                <w:kern w:val="0"/>
                <w:sz w:val="24"/>
                <w:szCs w:val="24"/>
                <w:lang w:bidi="ar"/>
              </w:rPr>
              <w:t>）。每提供一个项目的合同</w:t>
            </w:r>
            <w:r>
              <w:rPr>
                <w:rFonts w:hint="eastAsia" w:ascii="宋体" w:hAnsi="宋体" w:eastAsia="宋体" w:cs="宋体"/>
                <w:kern w:val="0"/>
                <w:sz w:val="24"/>
                <w:szCs w:val="24"/>
                <w:lang w:bidi="ar"/>
              </w:rPr>
              <w:t>及</w:t>
            </w:r>
            <w:r>
              <w:rPr>
                <w:rFonts w:ascii="宋体" w:hAnsi="宋体" w:eastAsia="宋体" w:cs="宋体"/>
                <w:kern w:val="0"/>
                <w:sz w:val="24"/>
                <w:szCs w:val="24"/>
                <w:lang w:bidi="ar"/>
              </w:rPr>
              <w:t>验收单得3分，最高3分。</w:t>
            </w:r>
          </w:p>
        </w:tc>
      </w:tr>
    </w:tbl>
    <w:p>
      <w:pPr>
        <w:pStyle w:val="4"/>
        <w:spacing w:before="0" w:beforeAutospacing="0" w:after="150" w:afterAutospacing="0"/>
        <w:ind w:left="-180" w:right="-180" w:firstLine="480"/>
        <w:rPr>
          <w:rFonts w:hint="eastAsia"/>
        </w:rPr>
      </w:pPr>
    </w:p>
    <w:p>
      <w:pPr>
        <w:pStyle w:val="4"/>
        <w:spacing w:before="0" w:beforeAutospacing="0" w:after="150" w:afterAutospacing="0"/>
        <w:ind w:left="-180" w:right="-180" w:firstLine="480"/>
        <w:rPr>
          <w:rFonts w:hint="eastAsia"/>
        </w:rPr>
      </w:pPr>
    </w:p>
    <w:p>
      <w:pPr>
        <w:pStyle w:val="4"/>
        <w:spacing w:before="0" w:beforeAutospacing="0" w:after="150" w:afterAutospacing="0"/>
        <w:ind w:left="-180" w:right="-180" w:firstLine="480"/>
        <w:rPr>
          <w:rFonts w:hint="eastAsia"/>
        </w:rPr>
      </w:pPr>
    </w:p>
    <w:p>
      <w:pPr>
        <w:pStyle w:val="4"/>
        <w:spacing w:before="0" w:beforeAutospacing="0" w:after="150" w:afterAutospacing="0"/>
        <w:ind w:left="-180" w:right="-180" w:firstLine="480"/>
        <w:rPr>
          <w:rFonts w:hint="eastAsia"/>
        </w:rPr>
      </w:pPr>
    </w:p>
    <w:p>
      <w:pPr>
        <w:pStyle w:val="4"/>
        <w:spacing w:before="0" w:beforeAutospacing="0" w:after="150" w:afterAutospacing="0"/>
        <w:ind w:left="-180" w:right="-180" w:firstLine="480"/>
      </w:pPr>
      <w:r>
        <w:rPr>
          <w:rFonts w:hint="eastAsia"/>
        </w:rPr>
        <w:t>③商务项（</w:t>
      </w:r>
      <w:r>
        <w:rPr>
          <w:rFonts w:ascii="Calibri" w:hAnsi="Calibri" w:cs="Calibri"/>
        </w:rPr>
        <w:t>F3</w:t>
      </w:r>
      <w:r>
        <w:rPr>
          <w:rFonts w:hint="eastAsia"/>
        </w:rPr>
        <w:t>×</w:t>
      </w:r>
      <w:r>
        <w:rPr>
          <w:rFonts w:ascii="Calibri" w:hAnsi="Calibri" w:cs="Calibri"/>
        </w:rPr>
        <w:t>A3</w:t>
      </w:r>
      <w:r>
        <w:rPr>
          <w:rFonts w:hint="eastAsia"/>
        </w:rPr>
        <w:t>）满分为</w:t>
      </w:r>
      <w:r>
        <w:rPr>
          <w:rFonts w:hint="eastAsia"/>
          <w:u w:val="single"/>
        </w:rPr>
        <w:t>2</w:t>
      </w:r>
      <w:r>
        <w:rPr>
          <w:rFonts w:hint="eastAsia"/>
          <w:u w:val="single"/>
          <w:lang w:val="en-US" w:eastAsia="zh-CN"/>
        </w:rPr>
        <w:t>5</w:t>
      </w:r>
      <w:r>
        <w:rPr>
          <w:rFonts w:hint="eastAsia"/>
        </w:rPr>
        <w:t>分。</w:t>
      </w:r>
    </w:p>
    <w:tbl>
      <w:tblPr>
        <w:tblStyle w:val="5"/>
        <w:tblW w:w="8491"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44"/>
        <w:gridCol w:w="850"/>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1744" w:type="dxa"/>
            <w:shd w:val="clear" w:color="auto" w:fill="auto"/>
            <w:vAlign w:val="center"/>
          </w:tcPr>
          <w:p>
            <w:pPr>
              <w:widowControl/>
              <w:jc w:val="center"/>
            </w:pPr>
            <w:r>
              <w:rPr>
                <w:rFonts w:ascii="宋体" w:hAnsi="宋体" w:eastAsia="宋体" w:cs="宋体"/>
                <w:kern w:val="0"/>
                <w:sz w:val="24"/>
                <w:szCs w:val="24"/>
                <w:lang w:bidi="ar"/>
              </w:rPr>
              <w:t>评标项目</w:t>
            </w:r>
          </w:p>
        </w:tc>
        <w:tc>
          <w:tcPr>
            <w:tcW w:w="850" w:type="dxa"/>
            <w:shd w:val="clear" w:color="auto" w:fill="auto"/>
            <w:vAlign w:val="center"/>
          </w:tcPr>
          <w:p>
            <w:pPr>
              <w:widowControl/>
              <w:jc w:val="center"/>
            </w:pPr>
            <w:r>
              <w:rPr>
                <w:rFonts w:ascii="宋体" w:hAnsi="宋体" w:eastAsia="宋体" w:cs="宋体"/>
                <w:kern w:val="0"/>
                <w:sz w:val="24"/>
                <w:szCs w:val="24"/>
                <w:lang w:bidi="ar"/>
              </w:rPr>
              <w:t>评标分值</w:t>
            </w:r>
          </w:p>
        </w:tc>
        <w:tc>
          <w:tcPr>
            <w:tcW w:w="5897" w:type="dxa"/>
            <w:shd w:val="clear" w:color="auto" w:fill="auto"/>
            <w:vAlign w:val="center"/>
          </w:tcPr>
          <w:p>
            <w:pPr>
              <w:widowControl/>
              <w:jc w:val="left"/>
            </w:pPr>
            <w:r>
              <w:rPr>
                <w:rFonts w:ascii="宋体" w:hAnsi="宋体" w:eastAsia="宋体" w:cs="宋体"/>
                <w:kern w:val="0"/>
                <w:sz w:val="24"/>
                <w:szCs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44" w:type="dxa"/>
            <w:shd w:val="clear" w:color="auto" w:fill="auto"/>
            <w:vAlign w:val="center"/>
          </w:tcPr>
          <w:p>
            <w:pPr>
              <w:widowControl/>
              <w:jc w:val="center"/>
              <w:rPr>
                <w:rFonts w:ascii="宋体" w:hAnsi="宋体" w:eastAsia="宋体" w:cs="宋体"/>
                <w:kern w:val="0"/>
                <w:sz w:val="24"/>
                <w:szCs w:val="24"/>
                <w:lang w:bidi="ar"/>
              </w:rPr>
            </w:pPr>
            <w:r>
              <w:rPr>
                <w:rFonts w:ascii="宋体" w:hAnsi="宋体" w:eastAsia="宋体" w:cs="宋体"/>
                <w:kern w:val="0"/>
                <w:sz w:val="24"/>
                <w:szCs w:val="24"/>
                <w:lang w:bidi="ar"/>
              </w:rPr>
              <w:t>1、软件著作权登记证书</w:t>
            </w:r>
          </w:p>
        </w:tc>
        <w:tc>
          <w:tcPr>
            <w:tcW w:w="850" w:type="dxa"/>
            <w:shd w:val="clear" w:color="auto" w:fill="auto"/>
            <w:vAlign w:val="center"/>
          </w:tcPr>
          <w:p>
            <w:pPr>
              <w:widowControl/>
              <w:jc w:val="center"/>
            </w:pPr>
            <w:r>
              <w:rPr>
                <w:rFonts w:ascii="宋体" w:hAnsi="宋体" w:eastAsia="宋体" w:cs="宋体"/>
                <w:kern w:val="0"/>
                <w:sz w:val="24"/>
                <w:szCs w:val="24"/>
                <w:lang w:bidi="ar"/>
              </w:rPr>
              <w:t>2</w:t>
            </w:r>
          </w:p>
        </w:tc>
        <w:tc>
          <w:tcPr>
            <w:tcW w:w="5897" w:type="dxa"/>
            <w:shd w:val="clear" w:color="auto" w:fill="auto"/>
            <w:vAlign w:val="center"/>
          </w:tcPr>
          <w:p>
            <w:pPr>
              <w:widowControl/>
              <w:jc w:val="left"/>
              <w:rPr>
                <w:rFonts w:ascii="宋体" w:hAnsi="宋体" w:eastAsia="宋体" w:cs="宋体"/>
                <w:kern w:val="0"/>
                <w:sz w:val="24"/>
                <w:szCs w:val="24"/>
                <w:lang w:bidi="ar"/>
              </w:rPr>
            </w:pPr>
            <w:r>
              <w:rPr>
                <w:rFonts w:ascii="宋体" w:hAnsi="宋体" w:eastAsia="宋体" w:cs="宋体"/>
                <w:kern w:val="0"/>
                <w:sz w:val="24"/>
                <w:szCs w:val="24"/>
                <w:lang w:bidi="ar"/>
              </w:rPr>
              <w:t>对</w:t>
            </w:r>
            <w:r>
              <w:rPr>
                <w:rFonts w:hint="eastAsia" w:ascii="宋体" w:hAnsi="宋体" w:eastAsia="宋体" w:cs="宋体"/>
                <w:kern w:val="0"/>
                <w:sz w:val="24"/>
                <w:szCs w:val="24"/>
                <w:lang w:val="en-US" w:eastAsia="zh-CN" w:bidi="ar"/>
              </w:rPr>
              <w:t>投标人所</w:t>
            </w:r>
            <w:r>
              <w:rPr>
                <w:rFonts w:ascii="宋体" w:hAnsi="宋体" w:eastAsia="宋体" w:cs="宋体"/>
                <w:kern w:val="0"/>
                <w:sz w:val="24"/>
                <w:szCs w:val="24"/>
                <w:lang w:bidi="ar"/>
              </w:rPr>
              <w:t>投标产品的软件</w:t>
            </w:r>
            <w:r>
              <w:rPr>
                <w:rFonts w:hint="eastAsia" w:ascii="宋体" w:hAnsi="宋体" w:eastAsia="宋体" w:cs="宋体"/>
                <w:kern w:val="0"/>
                <w:sz w:val="24"/>
                <w:szCs w:val="24"/>
                <w:lang w:bidi="ar"/>
              </w:rPr>
              <w:t>著作权</w:t>
            </w:r>
            <w:r>
              <w:rPr>
                <w:rFonts w:ascii="宋体" w:hAnsi="宋体" w:eastAsia="宋体" w:cs="宋体"/>
                <w:kern w:val="0"/>
                <w:sz w:val="24"/>
                <w:szCs w:val="24"/>
                <w:lang w:bidi="ar"/>
              </w:rPr>
              <w:t>登记证书、软件产品证书进行</w:t>
            </w:r>
            <w:r>
              <w:rPr>
                <w:rFonts w:hint="eastAsia" w:ascii="宋体" w:hAnsi="宋体" w:eastAsia="宋体" w:cs="宋体"/>
                <w:kern w:val="0"/>
                <w:sz w:val="24"/>
                <w:szCs w:val="24"/>
                <w:lang w:bidi="ar"/>
              </w:rPr>
              <w:t>评估</w:t>
            </w:r>
            <w:r>
              <w:rPr>
                <w:rFonts w:ascii="宋体" w:hAnsi="宋体" w:eastAsia="宋体" w:cs="宋体"/>
                <w:kern w:val="0"/>
                <w:sz w:val="24"/>
                <w:szCs w:val="24"/>
                <w:lang w:bidi="ar"/>
              </w:rPr>
              <w:t>，在0-2之间打分。</w:t>
            </w:r>
          </w:p>
          <w:p>
            <w:pPr>
              <w:widowControl/>
              <w:jc w:val="left"/>
              <w:rPr>
                <w:rFonts w:ascii="宋体" w:hAnsi="宋体" w:eastAsia="宋体" w:cs="宋体"/>
                <w:kern w:val="0"/>
                <w:sz w:val="24"/>
                <w:szCs w:val="24"/>
                <w:lang w:bidi="ar"/>
              </w:rPr>
            </w:pPr>
            <w:r>
              <w:rPr>
                <w:rFonts w:ascii="宋体" w:hAnsi="宋体" w:eastAsia="宋体" w:cs="宋体"/>
                <w:kern w:val="0"/>
                <w:sz w:val="24"/>
                <w:szCs w:val="24"/>
                <w:lang w:bidi="ar"/>
              </w:rPr>
              <w:t>具体如下：</w:t>
            </w:r>
          </w:p>
          <w:p>
            <w:pPr>
              <w:widowControl/>
              <w:jc w:val="left"/>
              <w:rPr>
                <w:rFonts w:ascii="宋体" w:hAnsi="宋体" w:eastAsia="宋体" w:cs="宋体"/>
                <w:kern w:val="0"/>
                <w:sz w:val="24"/>
                <w:szCs w:val="24"/>
                <w:lang w:bidi="ar"/>
              </w:rPr>
            </w:pPr>
            <w:r>
              <w:rPr>
                <w:rFonts w:ascii="宋体" w:hAnsi="宋体" w:eastAsia="宋体" w:cs="宋体"/>
                <w:kern w:val="0"/>
                <w:sz w:val="24"/>
                <w:szCs w:val="24"/>
                <w:lang w:bidi="ar"/>
              </w:rPr>
              <w:t>投标产品无软件</w:t>
            </w:r>
            <w:r>
              <w:rPr>
                <w:rFonts w:hint="eastAsia" w:ascii="宋体" w:hAnsi="宋体" w:eastAsia="宋体" w:cs="宋体"/>
                <w:kern w:val="0"/>
                <w:sz w:val="24"/>
                <w:szCs w:val="24"/>
                <w:lang w:bidi="ar"/>
              </w:rPr>
              <w:t>著作权</w:t>
            </w:r>
            <w:r>
              <w:rPr>
                <w:rFonts w:ascii="宋体" w:hAnsi="宋体" w:eastAsia="宋体" w:cs="宋体"/>
                <w:kern w:val="0"/>
                <w:sz w:val="24"/>
                <w:szCs w:val="24"/>
                <w:lang w:bidi="ar"/>
              </w:rPr>
              <w:t>登记证书和软件产品证书的，得0分；</w:t>
            </w:r>
          </w:p>
          <w:p>
            <w:pPr>
              <w:widowControl/>
              <w:jc w:val="left"/>
            </w:pPr>
            <w:r>
              <w:rPr>
                <w:rFonts w:ascii="宋体" w:hAnsi="宋体" w:eastAsia="宋体" w:cs="宋体"/>
                <w:kern w:val="0"/>
                <w:sz w:val="24"/>
                <w:szCs w:val="24"/>
                <w:lang w:bidi="ar"/>
              </w:rPr>
              <w:t>投标产品无相关证书或具备上述证书其中一项的，得0分；投标产品同时具备两项上述证书的，得1分；投标产品的软件产品证书中产品名称明</w:t>
            </w:r>
            <w:r>
              <w:rPr>
                <w:rFonts w:hint="eastAsia" w:ascii="宋体" w:hAnsi="宋体" w:eastAsia="宋体" w:cs="宋体"/>
                <w:kern w:val="0"/>
                <w:sz w:val="24"/>
                <w:szCs w:val="24"/>
                <w:lang w:bidi="ar"/>
              </w:rPr>
              <w:t>确为“病理质控系统”相</w:t>
            </w:r>
            <w:r>
              <w:rPr>
                <w:rFonts w:ascii="宋体" w:hAnsi="宋体" w:eastAsia="宋体" w:cs="宋体"/>
                <w:kern w:val="0"/>
                <w:sz w:val="24"/>
                <w:szCs w:val="24"/>
                <w:lang w:bidi="ar"/>
              </w:rPr>
              <w:t>关名称的，得2分。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44" w:type="dxa"/>
            <w:shd w:val="clear" w:color="auto" w:fill="auto"/>
            <w:vAlign w:val="center"/>
          </w:tcPr>
          <w:p>
            <w:pPr>
              <w:widowControl/>
              <w:jc w:val="center"/>
              <w:rPr>
                <w:rFonts w:ascii="宋体" w:hAnsi="宋体" w:eastAsia="宋体" w:cs="宋体"/>
                <w:kern w:val="0"/>
                <w:sz w:val="24"/>
                <w:szCs w:val="24"/>
                <w:lang w:bidi="ar"/>
              </w:rPr>
            </w:pPr>
            <w:r>
              <w:rPr>
                <w:rFonts w:ascii="宋体" w:hAnsi="宋体" w:eastAsia="宋体" w:cs="宋体"/>
                <w:kern w:val="0"/>
                <w:sz w:val="24"/>
                <w:szCs w:val="24"/>
                <w:lang w:bidi="ar"/>
              </w:rPr>
              <w:t>2、项目实施团队实力</w:t>
            </w:r>
          </w:p>
        </w:tc>
        <w:tc>
          <w:tcPr>
            <w:tcW w:w="850" w:type="dxa"/>
            <w:shd w:val="clear" w:color="auto" w:fill="auto"/>
            <w:vAlign w:val="center"/>
          </w:tcPr>
          <w:p>
            <w:pPr>
              <w:widowControl/>
              <w:jc w:val="center"/>
              <w:rPr>
                <w:sz w:val="24"/>
                <w:szCs w:val="24"/>
              </w:rPr>
            </w:pPr>
            <w:r>
              <w:rPr>
                <w:sz w:val="24"/>
                <w:szCs w:val="24"/>
              </w:rPr>
              <w:t>3</w:t>
            </w:r>
          </w:p>
        </w:tc>
        <w:tc>
          <w:tcPr>
            <w:tcW w:w="5897" w:type="dxa"/>
            <w:shd w:val="clear" w:color="auto" w:fill="auto"/>
            <w:vAlign w:val="center"/>
          </w:tcPr>
          <w:p>
            <w:pPr>
              <w:widowControl/>
              <w:jc w:val="left"/>
              <w:rPr>
                <w:rFonts w:ascii="宋体" w:hAnsi="宋体" w:eastAsia="宋体" w:cs="宋体"/>
                <w:kern w:val="0"/>
                <w:sz w:val="24"/>
                <w:szCs w:val="24"/>
                <w:lang w:bidi="ar"/>
              </w:rPr>
            </w:pPr>
            <w:r>
              <w:rPr>
                <w:rFonts w:hint="eastAsia" w:ascii="宋体" w:hAnsi="宋体" w:eastAsia="宋体" w:cs="宋体"/>
                <w:kern w:val="0"/>
                <w:sz w:val="24"/>
                <w:szCs w:val="24"/>
                <w:lang w:bidi="ar"/>
              </w:rPr>
              <w:t>项目至少需配备一名项目经理、一名实施工程师和一名接口开发工程师，三人均至少在投标产品生产单位具有5年以上工龄（提供社保证明扫描件），项目组成员每人均需具有至少三家同级别医院相关病理系统项目的实施经验（以签字为准的验收报告复印件作为证明）。以上三人的要求每满足1人得</w:t>
            </w:r>
            <w:r>
              <w:rPr>
                <w:rFonts w:ascii="宋体" w:hAnsi="宋体" w:eastAsia="宋体" w:cs="宋体"/>
                <w:kern w:val="0"/>
                <w:sz w:val="24"/>
                <w:szCs w:val="24"/>
                <w:lang w:bidi="ar"/>
              </w:rPr>
              <w:t>2</w:t>
            </w:r>
            <w:r>
              <w:rPr>
                <w:rFonts w:hint="eastAsia" w:ascii="宋体" w:hAnsi="宋体" w:eastAsia="宋体" w:cs="宋体"/>
                <w:kern w:val="0"/>
                <w:sz w:val="24"/>
                <w:szCs w:val="24"/>
                <w:lang w:bidi="ar"/>
              </w:rPr>
              <w:t>分，不满足不得分，三人全都满足得3分。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44" w:type="dxa"/>
            <w:shd w:val="clear" w:color="auto" w:fill="auto"/>
            <w:vAlign w:val="center"/>
          </w:tcPr>
          <w:p>
            <w:pPr>
              <w:widowControl/>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3、类似业绩</w:t>
            </w:r>
          </w:p>
        </w:tc>
        <w:tc>
          <w:tcPr>
            <w:tcW w:w="850" w:type="dxa"/>
            <w:shd w:val="clear" w:color="auto" w:fill="auto"/>
            <w:vAlign w:val="center"/>
          </w:tcPr>
          <w:p>
            <w:pPr>
              <w:widowControl/>
              <w:jc w:val="center"/>
              <w:rPr>
                <w:sz w:val="24"/>
                <w:szCs w:val="24"/>
              </w:rPr>
            </w:pPr>
            <w:r>
              <w:rPr>
                <w:rFonts w:hint="eastAsia"/>
                <w:sz w:val="24"/>
                <w:szCs w:val="24"/>
              </w:rPr>
              <w:t>3</w:t>
            </w:r>
          </w:p>
        </w:tc>
        <w:tc>
          <w:tcPr>
            <w:tcW w:w="5897" w:type="dxa"/>
            <w:shd w:val="clear" w:color="auto" w:fill="auto"/>
            <w:vAlign w:val="center"/>
          </w:tcPr>
          <w:p>
            <w:pPr>
              <w:widowControl/>
              <w:jc w:val="left"/>
              <w:rPr>
                <w:rFonts w:ascii="宋体" w:hAnsi="宋体" w:eastAsia="宋体" w:cs="宋体"/>
                <w:kern w:val="0"/>
                <w:sz w:val="24"/>
                <w:szCs w:val="24"/>
                <w:lang w:bidi="ar"/>
              </w:rPr>
            </w:pPr>
            <w:r>
              <w:rPr>
                <w:rFonts w:ascii="宋体" w:hAnsi="宋体" w:eastAsia="宋体" w:cs="宋体"/>
                <w:kern w:val="0"/>
                <w:sz w:val="24"/>
                <w:szCs w:val="24"/>
                <w:lang w:bidi="ar"/>
              </w:rPr>
              <w:t>自2019年1月1日起至投标截止时间止（以合同签订日期为准），根据投标人所投产品已完成</w:t>
            </w:r>
            <w:r>
              <w:rPr>
                <w:rFonts w:hint="eastAsia" w:ascii="宋体" w:hAnsi="宋体" w:eastAsia="宋体" w:cs="宋体"/>
                <w:kern w:val="0"/>
                <w:sz w:val="24"/>
                <w:szCs w:val="24"/>
                <w:lang w:bidi="ar"/>
              </w:rPr>
              <w:t>的</w:t>
            </w:r>
            <w:r>
              <w:rPr>
                <w:rFonts w:ascii="宋体" w:hAnsi="宋体" w:eastAsia="宋体" w:cs="宋体"/>
                <w:kern w:val="0"/>
                <w:sz w:val="24"/>
                <w:szCs w:val="24"/>
                <w:lang w:bidi="ar"/>
              </w:rPr>
              <w:t>与本项目类似业绩情况进行评分，每提供一份完整的业绩证明材料的得</w:t>
            </w:r>
            <w:r>
              <w:rPr>
                <w:rFonts w:hint="eastAsia" w:ascii="宋体" w:hAnsi="宋体" w:eastAsia="宋体" w:cs="宋体"/>
                <w:kern w:val="0"/>
                <w:sz w:val="24"/>
                <w:szCs w:val="24"/>
                <w:lang w:val="en-US" w:eastAsia="zh-CN" w:bidi="ar"/>
              </w:rPr>
              <w:t>0.5</w:t>
            </w:r>
            <w:r>
              <w:rPr>
                <w:rFonts w:ascii="宋体" w:hAnsi="宋体" w:eastAsia="宋体" w:cs="宋体"/>
                <w:kern w:val="0"/>
                <w:sz w:val="24"/>
                <w:szCs w:val="24"/>
                <w:lang w:bidi="ar"/>
              </w:rPr>
              <w:t>分，满分3分；</w:t>
            </w:r>
          </w:p>
          <w:p>
            <w:pPr>
              <w:widowControl/>
              <w:jc w:val="left"/>
              <w:rPr>
                <w:rFonts w:hint="eastAsia" w:ascii="宋体" w:hAnsi="宋体" w:eastAsia="宋体" w:cs="宋体"/>
                <w:kern w:val="0"/>
                <w:sz w:val="24"/>
                <w:szCs w:val="24"/>
                <w:lang w:bidi="ar"/>
              </w:rPr>
            </w:pPr>
            <w:r>
              <w:rPr>
                <w:rFonts w:ascii="宋体" w:hAnsi="宋体" w:eastAsia="宋体" w:cs="宋体"/>
                <w:kern w:val="0"/>
                <w:sz w:val="24"/>
                <w:szCs w:val="24"/>
                <w:lang w:bidi="ar"/>
              </w:rPr>
              <w:t>（注：业绩证明材料中须含中标/成交公告（提供相关网站中标/成交公告的下载网页并注明网址）、中标/成交通知书复印件、采购合同文本复印件，以及能够证明该业绩项目已经采购人验收合格的相关证明文件复印件，未同时提供以上各项证明材料的，该项业绩不给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44" w:type="dxa"/>
            <w:shd w:val="clear" w:color="auto" w:fill="auto"/>
            <w:vAlign w:val="center"/>
          </w:tcPr>
          <w:p>
            <w:pPr>
              <w:widowControl/>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4、</w:t>
            </w:r>
            <w:r>
              <w:rPr>
                <w:rFonts w:ascii="宋体" w:hAnsi="宋体" w:eastAsia="宋体" w:cs="宋体"/>
                <w:kern w:val="0"/>
                <w:sz w:val="24"/>
                <w:szCs w:val="24"/>
                <w:lang w:bidi="ar"/>
              </w:rPr>
              <w:t>电子病历系统功能应用水平分级评价能力</w:t>
            </w:r>
          </w:p>
        </w:tc>
        <w:tc>
          <w:tcPr>
            <w:tcW w:w="850" w:type="dxa"/>
            <w:shd w:val="clear" w:color="auto" w:fill="auto"/>
            <w:vAlign w:val="center"/>
          </w:tcPr>
          <w:p>
            <w:pPr>
              <w:widowControl/>
              <w:jc w:val="center"/>
              <w:rPr>
                <w:sz w:val="24"/>
                <w:szCs w:val="24"/>
              </w:rPr>
            </w:pPr>
            <w:r>
              <w:rPr>
                <w:sz w:val="24"/>
                <w:szCs w:val="24"/>
              </w:rPr>
              <w:t>3</w:t>
            </w:r>
          </w:p>
        </w:tc>
        <w:tc>
          <w:tcPr>
            <w:tcW w:w="5897" w:type="dxa"/>
            <w:shd w:val="clear" w:color="auto" w:fill="auto"/>
            <w:vAlign w:val="center"/>
          </w:tcPr>
          <w:p>
            <w:pPr>
              <w:widowControl/>
              <w:jc w:val="left"/>
              <w:rPr>
                <w:rFonts w:ascii="宋体" w:hAnsi="宋体" w:eastAsia="宋体" w:cs="宋体"/>
                <w:kern w:val="0"/>
                <w:sz w:val="24"/>
                <w:szCs w:val="24"/>
                <w:lang w:bidi="ar"/>
              </w:rPr>
            </w:pPr>
            <w:r>
              <w:rPr>
                <w:rFonts w:hint="eastAsia" w:ascii="宋体" w:hAnsi="宋体" w:eastAsia="宋体" w:cs="宋体"/>
                <w:kern w:val="0"/>
                <w:sz w:val="24"/>
                <w:szCs w:val="24"/>
                <w:lang w:bidi="ar"/>
              </w:rPr>
              <w:t>提供</w:t>
            </w:r>
            <w:r>
              <w:rPr>
                <w:rFonts w:hint="eastAsia" w:ascii="宋体" w:hAnsi="宋体" w:eastAsia="宋体" w:cs="宋体"/>
                <w:kern w:val="0"/>
                <w:sz w:val="24"/>
                <w:szCs w:val="24"/>
                <w:lang w:val="en-US" w:eastAsia="zh-CN" w:bidi="ar"/>
              </w:rPr>
              <w:t>所投</w:t>
            </w:r>
            <w:r>
              <w:rPr>
                <w:rFonts w:ascii="宋体" w:hAnsi="宋体" w:eastAsia="宋体" w:cs="宋体"/>
                <w:kern w:val="0"/>
                <w:sz w:val="24"/>
                <w:szCs w:val="24"/>
                <w:lang w:bidi="ar"/>
              </w:rPr>
              <w:t>产品通过电子病历系统功能应用水平分级评价六级的医院客户案例，（提供医院名称与通过电子病历系统功能应用水平分级评价六级的新闻或官方名单截图及</w:t>
            </w:r>
            <w:r>
              <w:rPr>
                <w:rFonts w:hint="eastAsia" w:ascii="宋体" w:hAnsi="宋体" w:eastAsia="宋体" w:cs="宋体"/>
                <w:kern w:val="0"/>
                <w:sz w:val="24"/>
                <w:szCs w:val="24"/>
                <w:lang w:bidi="ar"/>
              </w:rPr>
              <w:t>投标产品与该医院的病理系统</w:t>
            </w:r>
            <w:r>
              <w:rPr>
                <w:rFonts w:ascii="宋体" w:hAnsi="宋体" w:eastAsia="宋体" w:cs="宋体"/>
                <w:kern w:val="0"/>
                <w:sz w:val="24"/>
                <w:szCs w:val="24"/>
                <w:lang w:bidi="ar"/>
              </w:rPr>
              <w:t>合同</w:t>
            </w:r>
            <w:r>
              <w:rPr>
                <w:rFonts w:hint="eastAsia" w:ascii="宋体" w:hAnsi="宋体" w:eastAsia="宋体" w:cs="宋体"/>
                <w:kern w:val="0"/>
                <w:sz w:val="24"/>
                <w:szCs w:val="24"/>
                <w:lang w:bidi="ar"/>
              </w:rPr>
              <w:t>与</w:t>
            </w:r>
            <w:r>
              <w:rPr>
                <w:rFonts w:ascii="宋体" w:hAnsi="宋体" w:eastAsia="宋体" w:cs="宋体"/>
                <w:kern w:val="0"/>
                <w:sz w:val="24"/>
                <w:szCs w:val="24"/>
                <w:lang w:bidi="ar"/>
              </w:rPr>
              <w:t>验收单）。每提供一家电子病历六级及以上案例的得</w:t>
            </w:r>
            <w:r>
              <w:rPr>
                <w:rFonts w:hint="eastAsia" w:ascii="宋体" w:hAnsi="宋体" w:eastAsia="宋体" w:cs="宋体"/>
                <w:kern w:val="0"/>
                <w:sz w:val="24"/>
                <w:szCs w:val="24"/>
                <w:lang w:val="en-US" w:eastAsia="zh-CN" w:bidi="ar"/>
              </w:rPr>
              <w:t>0.5</w:t>
            </w:r>
            <w:r>
              <w:rPr>
                <w:rFonts w:ascii="宋体" w:hAnsi="宋体" w:eastAsia="宋体" w:cs="宋体"/>
                <w:kern w:val="0"/>
                <w:sz w:val="24"/>
                <w:szCs w:val="24"/>
                <w:lang w:bidi="ar"/>
              </w:rPr>
              <w:t>分，该测评等级案例总分不超过3分。本项最多3分。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44" w:type="dxa"/>
            <w:shd w:val="clear" w:color="auto" w:fill="auto"/>
            <w:vAlign w:val="center"/>
          </w:tcPr>
          <w:p>
            <w:pPr>
              <w:widowControl/>
              <w:jc w:val="center"/>
              <w:rPr>
                <w:rFonts w:ascii="宋体" w:hAnsi="宋体" w:eastAsia="宋体" w:cs="宋体"/>
                <w:kern w:val="0"/>
                <w:sz w:val="24"/>
                <w:szCs w:val="24"/>
                <w:lang w:bidi="ar"/>
              </w:rPr>
            </w:pPr>
            <w:r>
              <w:rPr>
                <w:rFonts w:ascii="宋体" w:hAnsi="宋体" w:eastAsia="宋体" w:cs="宋体"/>
                <w:kern w:val="0"/>
                <w:sz w:val="24"/>
                <w:szCs w:val="24"/>
                <w:lang w:bidi="ar"/>
              </w:rPr>
              <w:t>5</w:t>
            </w:r>
            <w:r>
              <w:rPr>
                <w:rFonts w:hint="eastAsia" w:ascii="宋体" w:hAnsi="宋体" w:eastAsia="宋体" w:cs="宋体"/>
                <w:kern w:val="0"/>
                <w:sz w:val="24"/>
                <w:szCs w:val="24"/>
                <w:lang w:bidi="ar"/>
              </w:rPr>
              <w:t>、</w:t>
            </w:r>
            <w:r>
              <w:rPr>
                <w:rFonts w:ascii="宋体" w:hAnsi="宋体" w:eastAsia="宋体" w:cs="宋体"/>
                <w:kern w:val="0"/>
                <w:sz w:val="24"/>
                <w:szCs w:val="24"/>
                <w:lang w:bidi="ar"/>
              </w:rPr>
              <w:t>CNAS医学实验室实施经验证明</w:t>
            </w:r>
          </w:p>
        </w:tc>
        <w:tc>
          <w:tcPr>
            <w:tcW w:w="850" w:type="dxa"/>
            <w:shd w:val="clear" w:color="auto" w:fill="auto"/>
            <w:vAlign w:val="center"/>
          </w:tcPr>
          <w:p>
            <w:pPr>
              <w:widowControl/>
              <w:jc w:val="center"/>
              <w:rPr>
                <w:sz w:val="24"/>
                <w:szCs w:val="24"/>
              </w:rPr>
            </w:pPr>
            <w:r>
              <w:rPr>
                <w:sz w:val="24"/>
                <w:szCs w:val="24"/>
              </w:rPr>
              <w:t>3</w:t>
            </w:r>
          </w:p>
        </w:tc>
        <w:tc>
          <w:tcPr>
            <w:tcW w:w="5897" w:type="dxa"/>
            <w:shd w:val="clear" w:color="auto" w:fill="auto"/>
            <w:vAlign w:val="center"/>
          </w:tcPr>
          <w:p>
            <w:pPr>
              <w:widowControl/>
              <w:jc w:val="left"/>
              <w:rPr>
                <w:rFonts w:ascii="宋体" w:hAnsi="宋体" w:eastAsia="宋体" w:cs="宋体"/>
                <w:kern w:val="0"/>
                <w:sz w:val="24"/>
                <w:szCs w:val="24"/>
                <w:lang w:bidi="ar"/>
              </w:rPr>
            </w:pPr>
            <w:r>
              <w:rPr>
                <w:rFonts w:hint="eastAsia" w:ascii="宋体" w:hAnsi="宋体" w:eastAsia="宋体" w:cs="宋体"/>
                <w:kern w:val="0"/>
                <w:sz w:val="24"/>
                <w:szCs w:val="24"/>
                <w:lang w:val="en-US" w:eastAsia="zh-CN" w:bidi="ar"/>
              </w:rPr>
              <w:t>所</w:t>
            </w:r>
            <w:r>
              <w:rPr>
                <w:rFonts w:ascii="宋体" w:hAnsi="宋体" w:eastAsia="宋体" w:cs="宋体"/>
                <w:kern w:val="0"/>
                <w:sz w:val="24"/>
                <w:szCs w:val="24"/>
                <w:lang w:bidi="ar"/>
              </w:rPr>
              <w:t>标产品有通过CNAS</w:t>
            </w:r>
            <w:r>
              <w:rPr>
                <w:rFonts w:hint="eastAsia" w:ascii="宋体" w:hAnsi="宋体" w:eastAsia="宋体" w:cs="宋体"/>
                <w:kern w:val="0"/>
                <w:sz w:val="24"/>
                <w:szCs w:val="24"/>
                <w:lang w:bidi="ar"/>
              </w:rPr>
              <w:t>病理科认可</w:t>
            </w:r>
            <w:r>
              <w:rPr>
                <w:rFonts w:ascii="宋体" w:hAnsi="宋体" w:eastAsia="宋体" w:cs="宋体"/>
                <w:kern w:val="0"/>
                <w:sz w:val="24"/>
                <w:szCs w:val="24"/>
                <w:lang w:bidi="ar"/>
              </w:rPr>
              <w:t>的实施经验，提供类似病理系统项目通过CNAS医学实验室</w:t>
            </w:r>
            <w:r>
              <w:rPr>
                <w:rFonts w:hint="eastAsia" w:ascii="宋体" w:hAnsi="宋体" w:eastAsia="宋体" w:cs="宋体"/>
                <w:kern w:val="0"/>
                <w:sz w:val="24"/>
                <w:szCs w:val="24"/>
                <w:lang w:bidi="ar"/>
              </w:rPr>
              <w:t>认可</w:t>
            </w:r>
            <w:r>
              <w:rPr>
                <w:rFonts w:ascii="宋体" w:hAnsi="宋体" w:eastAsia="宋体" w:cs="宋体"/>
                <w:kern w:val="0"/>
                <w:sz w:val="24"/>
                <w:szCs w:val="24"/>
                <w:lang w:bidi="ar"/>
              </w:rPr>
              <w:t>的病理科用户的实施证明，每提供一个用户盖章的有效证明材料得，每提供一个用户得</w:t>
            </w:r>
            <w:r>
              <w:rPr>
                <w:rFonts w:hint="eastAsia" w:ascii="宋体" w:hAnsi="宋体" w:eastAsia="宋体" w:cs="宋体"/>
                <w:kern w:val="0"/>
                <w:sz w:val="24"/>
                <w:szCs w:val="24"/>
                <w:lang w:val="en-US" w:eastAsia="zh-CN" w:bidi="ar"/>
              </w:rPr>
              <w:t>0.5</w:t>
            </w:r>
            <w:r>
              <w:rPr>
                <w:rFonts w:ascii="宋体" w:hAnsi="宋体" w:eastAsia="宋体" w:cs="宋体"/>
                <w:kern w:val="0"/>
                <w:sz w:val="24"/>
                <w:szCs w:val="24"/>
                <w:lang w:bidi="ar"/>
              </w:rPr>
              <w:t xml:space="preserve">分，最高得3分； </w:t>
            </w:r>
          </w:p>
          <w:p>
            <w:pPr>
              <w:widowControl/>
              <w:jc w:val="left"/>
              <w:rPr>
                <w:rFonts w:ascii="宋体" w:hAnsi="宋体" w:eastAsia="宋体" w:cs="宋体"/>
                <w:kern w:val="0"/>
                <w:sz w:val="24"/>
                <w:szCs w:val="24"/>
                <w:lang w:bidi="ar"/>
              </w:rPr>
            </w:pPr>
            <w:r>
              <w:rPr>
                <w:rFonts w:ascii="宋体" w:hAnsi="宋体" w:eastAsia="宋体" w:cs="宋体"/>
                <w:kern w:val="0"/>
                <w:sz w:val="24"/>
                <w:szCs w:val="24"/>
                <w:lang w:bidi="ar"/>
              </w:rPr>
              <w:t>（注：须提供病理科通过CNAS认可的新闻截图及投标产品与该医院的合同复印件及验收单复印件进行证明，虚假声明者将直接落标并计入不诚信记录。）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44" w:type="dxa"/>
            <w:shd w:val="clear" w:color="auto" w:fill="auto"/>
            <w:vAlign w:val="center"/>
          </w:tcPr>
          <w:p>
            <w:pPr>
              <w:widowControl/>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6、互联互通标准化成熟度测评集成能力</w:t>
            </w:r>
          </w:p>
        </w:tc>
        <w:tc>
          <w:tcPr>
            <w:tcW w:w="850" w:type="dxa"/>
            <w:shd w:val="clear" w:color="auto" w:fill="auto"/>
            <w:vAlign w:val="center"/>
          </w:tcPr>
          <w:p>
            <w:pPr>
              <w:widowControl/>
              <w:jc w:val="center"/>
              <w:rPr>
                <w:rFonts w:ascii="宋体" w:hAnsi="宋体" w:eastAsia="宋体" w:cs="宋体"/>
                <w:kern w:val="0"/>
                <w:sz w:val="24"/>
                <w:szCs w:val="24"/>
                <w:lang w:bidi="ar"/>
              </w:rPr>
            </w:pPr>
            <w:r>
              <w:rPr>
                <w:rFonts w:hint="eastAsia" w:ascii="微软雅黑" w:hAnsi="微软雅黑" w:eastAsia="微软雅黑" w:cs="微软雅黑"/>
                <w:color w:val="393939"/>
                <w:kern w:val="0"/>
                <w:sz w:val="19"/>
                <w:szCs w:val="19"/>
                <w:lang w:bidi="ar"/>
              </w:rPr>
              <w:t>3</w:t>
            </w:r>
          </w:p>
        </w:tc>
        <w:tc>
          <w:tcPr>
            <w:tcW w:w="5897" w:type="dxa"/>
            <w:shd w:val="clear" w:color="auto" w:fill="auto"/>
            <w:vAlign w:val="center"/>
          </w:tcPr>
          <w:p>
            <w:pPr>
              <w:widowControl/>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所投产品具有</w:t>
            </w:r>
            <w:r>
              <w:rPr>
                <w:rFonts w:ascii="宋体" w:hAnsi="宋体" w:eastAsia="宋体" w:cs="宋体"/>
                <w:kern w:val="0"/>
                <w:sz w:val="24"/>
                <w:szCs w:val="24"/>
                <w:lang w:bidi="ar"/>
              </w:rPr>
              <w:t>通过</w:t>
            </w:r>
            <w:r>
              <w:rPr>
                <w:rFonts w:hint="eastAsia" w:ascii="宋体" w:hAnsi="宋体" w:eastAsia="宋体" w:cs="宋体"/>
                <w:kern w:val="0"/>
                <w:sz w:val="24"/>
                <w:szCs w:val="24"/>
                <w:lang w:bidi="ar"/>
              </w:rPr>
              <w:t>医院信息互联互通标准化成熟度测评五级乙等的医院客户服务经验，（提供医院名称与通过互联互通标准化成熟度测评等级的证明材料及投标产品与该医院的病理系统合同及验收单复印件）。每提供一家五级乙等证明材料的得</w:t>
            </w:r>
            <w:r>
              <w:rPr>
                <w:rFonts w:hint="eastAsia" w:ascii="宋体" w:hAnsi="宋体" w:eastAsia="宋体" w:cs="宋体"/>
                <w:kern w:val="0"/>
                <w:sz w:val="24"/>
                <w:szCs w:val="24"/>
                <w:lang w:val="en-US" w:eastAsia="zh-CN" w:bidi="ar"/>
              </w:rPr>
              <w:t>0.5</w:t>
            </w:r>
            <w:r>
              <w:rPr>
                <w:rFonts w:hint="eastAsia" w:ascii="宋体" w:hAnsi="宋体" w:eastAsia="宋体" w:cs="宋体"/>
                <w:kern w:val="0"/>
                <w:sz w:val="24"/>
                <w:szCs w:val="24"/>
                <w:lang w:bidi="ar"/>
              </w:rPr>
              <w:t>分，最多得</w:t>
            </w:r>
            <w:r>
              <w:rPr>
                <w:rFonts w:ascii="宋体" w:hAnsi="宋体" w:eastAsia="宋体" w:cs="宋体"/>
                <w:kern w:val="0"/>
                <w:sz w:val="24"/>
                <w:szCs w:val="24"/>
                <w:lang w:bidi="ar"/>
              </w:rPr>
              <w:t>3</w:t>
            </w:r>
            <w:r>
              <w:rPr>
                <w:rFonts w:hint="eastAsia" w:ascii="宋体" w:hAnsi="宋体" w:eastAsia="宋体" w:cs="宋体"/>
                <w:kern w:val="0"/>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44" w:type="dxa"/>
            <w:shd w:val="clear" w:color="auto" w:fill="auto"/>
            <w:vAlign w:val="center"/>
          </w:tcPr>
          <w:p>
            <w:pPr>
              <w:widowControl/>
              <w:jc w:val="center"/>
              <w:rPr>
                <w:rFonts w:ascii="宋体" w:hAnsi="宋体" w:eastAsia="宋体" w:cs="宋体"/>
                <w:kern w:val="0"/>
                <w:sz w:val="24"/>
                <w:szCs w:val="24"/>
                <w:lang w:bidi="ar"/>
              </w:rPr>
            </w:pPr>
            <w:r>
              <w:rPr>
                <w:rFonts w:hint="eastAsia" w:ascii="宋体" w:hAnsi="宋体" w:eastAsia="宋体" w:cs="宋体"/>
                <w:kern w:val="0"/>
                <w:sz w:val="24"/>
                <w:szCs w:val="24"/>
                <w:lang w:val="en-US" w:eastAsia="zh-CN" w:bidi="ar"/>
              </w:rPr>
              <w:t>7</w:t>
            </w:r>
            <w:r>
              <w:rPr>
                <w:rFonts w:ascii="宋体" w:hAnsi="宋体" w:eastAsia="宋体" w:cs="宋体"/>
                <w:kern w:val="0"/>
                <w:sz w:val="24"/>
                <w:szCs w:val="24"/>
                <w:lang w:bidi="ar"/>
              </w:rPr>
              <w:t>、</w:t>
            </w:r>
            <w:r>
              <w:rPr>
                <w:rFonts w:hint="eastAsia"/>
                <w:sz w:val="24"/>
                <w:szCs w:val="24"/>
              </w:rPr>
              <w:t>培训方案</w:t>
            </w:r>
          </w:p>
        </w:tc>
        <w:tc>
          <w:tcPr>
            <w:tcW w:w="850" w:type="dxa"/>
            <w:shd w:val="clear" w:color="auto" w:fill="auto"/>
            <w:vAlign w:val="center"/>
          </w:tcPr>
          <w:p>
            <w:pPr>
              <w:widowControl/>
              <w:jc w:val="center"/>
              <w:rPr>
                <w:rFonts w:ascii="宋体" w:hAnsi="宋体" w:eastAsia="宋体" w:cs="宋体"/>
                <w:kern w:val="0"/>
                <w:sz w:val="24"/>
                <w:szCs w:val="24"/>
                <w:lang w:bidi="ar"/>
              </w:rPr>
            </w:pPr>
            <w:r>
              <w:rPr>
                <w:rFonts w:ascii="宋体" w:hAnsi="宋体" w:eastAsia="宋体" w:cs="宋体"/>
                <w:kern w:val="0"/>
                <w:sz w:val="24"/>
                <w:szCs w:val="24"/>
                <w:lang w:bidi="ar"/>
              </w:rPr>
              <w:t>3</w:t>
            </w:r>
          </w:p>
        </w:tc>
        <w:tc>
          <w:tcPr>
            <w:tcW w:w="5897" w:type="dxa"/>
            <w:shd w:val="clear" w:color="auto" w:fill="auto"/>
            <w:vAlign w:val="center"/>
          </w:tcPr>
          <w:p>
            <w:pPr>
              <w:widowControl/>
              <w:jc w:val="left"/>
              <w:rPr>
                <w:rFonts w:ascii="宋体" w:hAnsi="宋体" w:eastAsia="宋体" w:cs="宋体"/>
                <w:kern w:val="0"/>
                <w:sz w:val="24"/>
                <w:szCs w:val="24"/>
                <w:lang w:bidi="ar"/>
              </w:rPr>
            </w:pPr>
            <w:r>
              <w:rPr>
                <w:rFonts w:hint="eastAsia" w:ascii="宋体" w:hAnsi="宋体" w:eastAsia="宋体" w:cs="宋体"/>
                <w:kern w:val="0"/>
                <w:sz w:val="24"/>
                <w:szCs w:val="24"/>
                <w:lang w:eastAsia="zh-CN"/>
              </w:rPr>
              <w:t>根据</w:t>
            </w:r>
            <w:r>
              <w:rPr>
                <w:rFonts w:hint="eastAsia" w:ascii="宋体" w:hAnsi="宋体" w:eastAsia="宋体" w:cs="宋体"/>
                <w:kern w:val="0"/>
                <w:sz w:val="24"/>
                <w:szCs w:val="24"/>
              </w:rPr>
              <w:t>投标人针对本项目提供的培训方案由评委进行评审：方案周全、实施性高，合理性、可行性强，符合采购需求的得3分，方案较周全、实施性一般，较为符合采购需求的得1分。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44" w:type="dxa"/>
            <w:vMerge w:val="restart"/>
            <w:shd w:val="clear" w:color="auto" w:fill="auto"/>
            <w:vAlign w:val="center"/>
          </w:tcPr>
          <w:p>
            <w:pPr>
              <w:widowControl/>
              <w:jc w:val="center"/>
              <w:rPr>
                <w:rFonts w:hint="default" w:ascii="宋体" w:hAnsi="宋体" w:eastAsia="宋体" w:cs="宋体"/>
                <w:kern w:val="0"/>
                <w:sz w:val="24"/>
                <w:szCs w:val="24"/>
                <w:lang w:val="en-US" w:bidi="ar"/>
              </w:rPr>
            </w:pPr>
            <w:r>
              <w:rPr>
                <w:rFonts w:hint="eastAsia" w:ascii="宋体" w:hAnsi="宋体" w:eastAsia="宋体" w:cs="宋体"/>
                <w:kern w:val="0"/>
                <w:sz w:val="24"/>
                <w:szCs w:val="24"/>
                <w:lang w:val="en-US" w:eastAsia="zh-CN" w:bidi="ar"/>
              </w:rPr>
              <w:t>8、售后服务</w:t>
            </w:r>
          </w:p>
        </w:tc>
        <w:tc>
          <w:tcPr>
            <w:tcW w:w="850" w:type="dxa"/>
            <w:shd w:val="clear" w:color="auto" w:fill="auto"/>
            <w:vAlign w:val="center"/>
          </w:tcPr>
          <w:p>
            <w:pPr>
              <w:widowControl/>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w:t>
            </w:r>
          </w:p>
        </w:tc>
        <w:tc>
          <w:tcPr>
            <w:tcW w:w="5897" w:type="dxa"/>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bidi="ar"/>
              </w:rPr>
              <w:t>支持“7×24 小时”服务，系统故障可以通过微信平台或APP进行申报，分组审批、提交、查看问题处理的进展、以及处理结果反馈，整个操作流程方便快捷。并且根据人员的职务不同，也相应设置其权限范围，须提供功能截图，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44" w:type="dxa"/>
            <w:vMerge w:val="continue"/>
            <w:shd w:val="clear" w:color="auto" w:fill="auto"/>
            <w:vAlign w:val="center"/>
          </w:tcPr>
          <w:p>
            <w:pPr>
              <w:widowControl/>
              <w:jc w:val="center"/>
              <w:rPr>
                <w:rFonts w:ascii="宋体" w:hAnsi="宋体" w:eastAsia="宋体" w:cs="宋体"/>
                <w:kern w:val="0"/>
                <w:sz w:val="24"/>
                <w:szCs w:val="24"/>
                <w:lang w:bidi="ar"/>
              </w:rPr>
            </w:pPr>
          </w:p>
        </w:tc>
        <w:tc>
          <w:tcPr>
            <w:tcW w:w="850" w:type="dxa"/>
            <w:shd w:val="clear" w:color="auto" w:fill="auto"/>
            <w:vAlign w:val="center"/>
          </w:tcPr>
          <w:p>
            <w:pPr>
              <w:widowControl/>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w:t>
            </w:r>
          </w:p>
        </w:tc>
        <w:tc>
          <w:tcPr>
            <w:tcW w:w="5897" w:type="dxa"/>
            <w:shd w:val="clear" w:color="auto" w:fill="auto"/>
            <w:vAlign w:val="center"/>
          </w:tcPr>
          <w:p>
            <w:pPr>
              <w:widowControl/>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根据各供应商的售后服务承诺、维护响应计划进行评分（包括具体的售后服务内容、故障响应时间、响应方式等方面）由评委进行评议：①有提供售后服务承诺、维护响应计划的；②提供的售后服务承诺、维护响应计划包括具体的售后服务内容、故障响应时间、响应方式等方面的；③维护响应计划详细，售后服务承诺好，故障响应时间短的。满足以上三点的得3分，满足以上两点的得1分，否则不得分。</w:t>
            </w:r>
          </w:p>
        </w:tc>
      </w:tr>
    </w:tbl>
    <w:p>
      <w:pPr>
        <w:pStyle w:val="2"/>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966DE"/>
    <w:multiLevelType w:val="multilevel"/>
    <w:tmpl w:val="0A7966DE"/>
    <w:lvl w:ilvl="0" w:tentative="0">
      <w:start w:val="1"/>
      <w:numFmt w:val="decimal"/>
      <w:suff w:val="nothing"/>
      <w:lvlText w:val="%1"/>
      <w:lvlJc w:val="left"/>
      <w:pPr>
        <w:ind w:left="420" w:hanging="420"/>
      </w:pPr>
      <w:rPr>
        <w:rFonts w:hint="eastAsia"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35D94F85"/>
    <w:rsid w:val="0B932AB3"/>
    <w:rsid w:val="35D94F85"/>
    <w:rsid w:val="3B9B7467"/>
    <w:rsid w:val="6B814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next w:val="3"/>
    <w:semiHidden/>
    <w:unhideWhenUsed/>
    <w:qFormat/>
    <w:uiPriority w:val="99"/>
    <w:pPr>
      <w:spacing w:after="120"/>
      <w:ind w:left="420" w:leftChars="200"/>
    </w:pPr>
  </w:style>
  <w:style w:type="paragraph" w:styleId="3">
    <w:name w:val="envelope return"/>
    <w:basedOn w:val="1"/>
    <w:unhideWhenUsed/>
    <w:qFormat/>
    <w:uiPriority w:val="99"/>
    <w:pPr>
      <w:snapToGrid w:val="0"/>
    </w:pPr>
    <w:rPr>
      <w:rFonts w:ascii="Arial" w:hAnsi="Arial" w:cs="Arial"/>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cf01"/>
    <w:basedOn w:val="6"/>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9414</Words>
  <Characters>9561</Characters>
  <Lines>0</Lines>
  <Paragraphs>0</Paragraphs>
  <TotalTime>21</TotalTime>
  <ScaleCrop>false</ScaleCrop>
  <LinksUpToDate>false</LinksUpToDate>
  <CharactersWithSpaces>9607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2023-06-12T00:35:00Z</dcterms:created>
  <dc:creator>蓝</dc:creator>
  <cp:lastModifiedBy>叶阿娜</cp:lastModifiedBy>
  <cp:lastPrinted>2023-06-20T01:12:32Z</cp:lastPrinted>
  <dcterms:modified xsi:type="dcterms:W3CDTF">2023-06-20T01:30:38Z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461D1AFA846A4D99AA913B4EDE6573B6_13</vt:lpwstr>
  </property>
</Properties>
</file>