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jc w:val="left"/>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（一）</w:t>
      </w:r>
      <w:r>
        <w:rPr>
          <w:rFonts w:hint="eastAsia" w:ascii="宋体" w:hAnsi="宋体" w:eastAsia="宋体" w:cs="宋体"/>
          <w:b/>
          <w:bCs/>
          <w:color w:val="000000"/>
          <w:kern w:val="0"/>
          <w:sz w:val="24"/>
          <w:szCs w:val="24"/>
          <w:highlight w:val="none"/>
        </w:rPr>
        <w:t>技术参数及要求</w:t>
      </w:r>
    </w:p>
    <w:p>
      <w:pPr>
        <w:spacing w:line="360" w:lineRule="auto"/>
        <w:ind w:firstLine="482" w:firstLineChars="200"/>
        <w:jc w:val="left"/>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1、</w:t>
      </w:r>
      <w:bookmarkStart w:id="0" w:name="_Hlk136366995"/>
      <w:r>
        <w:rPr>
          <w:rFonts w:hint="eastAsia" w:ascii="宋体" w:hAnsi="宋体" w:eastAsia="宋体" w:cs="宋体"/>
          <w:b/>
          <w:bCs/>
          <w:kern w:val="0"/>
          <w:sz w:val="24"/>
          <w:szCs w:val="24"/>
          <w:highlight w:val="none"/>
        </w:rPr>
        <w:t>纯电7座多用途乘用车</w:t>
      </w:r>
      <w:bookmarkEnd w:id="0"/>
    </w:p>
    <w:tbl>
      <w:tblPr>
        <w:tblStyle w:val="3"/>
        <w:tblW w:w="9789"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765"/>
        <w:gridCol w:w="3921"/>
        <w:gridCol w:w="51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75"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序号</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75"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尺寸</w:t>
            </w:r>
            <w:r>
              <w:rPr>
                <w:rFonts w:hint="eastAsia" w:ascii="宋体" w:hAnsi="宋体" w:eastAsia="宋体" w:cs="宋体"/>
                <w:color w:val="000000"/>
                <w:kern w:val="0"/>
                <w:sz w:val="24"/>
                <w:szCs w:val="24"/>
                <w:highlight w:val="none"/>
              </w:rPr>
              <w:t>（mm）</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外形尺寸长度</w:t>
            </w:r>
            <w:r>
              <w:rPr>
                <w:rFonts w:hint="eastAsia" w:ascii="宋体" w:hAnsi="宋体" w:eastAsia="宋体" w:cs="宋体"/>
                <w:color w:val="000000"/>
                <w:kern w:val="0"/>
                <w:sz w:val="24"/>
                <w:szCs w:val="24"/>
                <w:highlight w:val="none"/>
              </w:rPr>
              <w:t>4825±200</w:t>
            </w:r>
            <w:r>
              <w:rPr>
                <w:rFonts w:hint="eastAsia" w:ascii="宋体" w:hAnsi="宋体" w:eastAsia="宋体" w:cs="宋体"/>
                <w:kern w:val="0"/>
                <w:sz w:val="24"/>
                <w:szCs w:val="24"/>
                <w:highlight w:val="none"/>
              </w:rPr>
              <w:t>、宽度</w:t>
            </w:r>
            <w:r>
              <w:rPr>
                <w:rFonts w:hint="eastAsia" w:ascii="宋体" w:hAnsi="宋体" w:eastAsia="宋体" w:cs="宋体"/>
                <w:color w:val="000000"/>
                <w:kern w:val="0"/>
                <w:sz w:val="24"/>
                <w:szCs w:val="24"/>
                <w:highlight w:val="none"/>
              </w:rPr>
              <w:t>1825±100</w:t>
            </w:r>
            <w:r>
              <w:rPr>
                <w:rFonts w:hint="eastAsia" w:ascii="宋体" w:hAnsi="宋体" w:eastAsia="宋体" w:cs="宋体"/>
                <w:kern w:val="0"/>
                <w:sz w:val="24"/>
                <w:szCs w:val="24"/>
                <w:highlight w:val="none"/>
              </w:rPr>
              <w:t>,高度</w:t>
            </w:r>
            <w:r>
              <w:rPr>
                <w:rFonts w:hint="eastAsia" w:ascii="宋体" w:hAnsi="宋体" w:eastAsia="宋体" w:cs="宋体"/>
                <w:color w:val="000000"/>
                <w:kern w:val="0"/>
                <w:sz w:val="24"/>
                <w:szCs w:val="24"/>
                <w:highlight w:val="none"/>
              </w:rPr>
              <w:t>1778±200</w:t>
            </w:r>
            <w:r>
              <w:rPr>
                <w:rFonts w:hint="eastAsia" w:ascii="宋体" w:hAnsi="宋体" w:eastAsia="宋体" w:cs="宋体"/>
                <w:kern w:val="0"/>
                <w:sz w:val="24"/>
                <w:szCs w:val="24"/>
                <w:highlight w:val="none"/>
              </w:rPr>
              <w:t>(以所投车辆的工信部汽车公告为准,需提供车辆公告页，并加盖投标人公章)。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b/>
                <w:bCs/>
                <w:color w:val="000000"/>
                <w:kern w:val="0"/>
                <w:sz w:val="24"/>
                <w:szCs w:val="24"/>
                <w:highlight w:val="none"/>
              </w:rPr>
              <w:t>轴距（mm）</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前轮距/后轮距（mm）</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1500±100/1500±100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15"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最小离地间隙（mm）</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≥130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15" w:hRule="atLeast"/>
          <w:tblCellSpacing w:w="15" w:type="dxa"/>
        </w:trPr>
        <w:tc>
          <w:tcPr>
            <w:tcW w:w="9729"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动力性能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1.5</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b/>
                <w:bCs/>
                <w:color w:val="000000" w:themeColor="text1"/>
                <w:kern w:val="0"/>
                <w:sz w:val="24"/>
                <w:szCs w:val="24"/>
                <w:highlight w:val="none"/>
                <w14:textFill>
                  <w14:solidFill>
                    <w14:schemeClr w14:val="tx1"/>
                  </w14:solidFill>
                </w14:textFill>
              </w:rPr>
              <w:t>最高车速（km/h）</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≥160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1.6</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电机型式</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永磁同步电机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1.7</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ind w:left="15" w:firstLine="45"/>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电机最大功率（kW）</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ind w:left="15" w:firstLine="45"/>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130±40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1.8</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ind w:left="15" w:firstLine="45"/>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电机最大扭矩（Nm）</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ind w:left="15" w:firstLine="45"/>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≥310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1.9</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b/>
                <w:bCs/>
                <w:color w:val="000000"/>
                <w:kern w:val="0"/>
                <w:sz w:val="24"/>
                <w:szCs w:val="24"/>
                <w:highlight w:val="none"/>
              </w:rPr>
              <w:t>电池类型</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三元锂电池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1.10</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b/>
                <w:bCs/>
                <w:color w:val="000000"/>
                <w:kern w:val="0"/>
                <w:sz w:val="24"/>
                <w:szCs w:val="24"/>
                <w:highlight w:val="none"/>
              </w:rPr>
              <w:t>电池容量（kWh）</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1.12</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themeColor="text1"/>
                <w:kern w:val="0"/>
                <w:sz w:val="24"/>
                <w:szCs w:val="24"/>
                <w:highlight w:val="none"/>
                <w14:textFill>
                  <w14:solidFill>
                    <w14:schemeClr w14:val="tx1"/>
                  </w14:solidFill>
                </w14:textFill>
              </w:rPr>
              <w:t>CLTC纯电续驶里程（km）</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≥430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1.13</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themeColor="text1"/>
                <w:kern w:val="0"/>
                <w:sz w:val="24"/>
                <w:szCs w:val="24"/>
                <w:highlight w:val="none"/>
                <w14:textFill>
                  <w14:solidFill>
                    <w14:schemeClr w14:val="tx1"/>
                  </w14:solidFill>
                </w14:textFill>
              </w:rPr>
              <w:t>直流快充时间ª(h)</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&lt;35(20%-80%)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1.14</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themeColor="text1"/>
                <w:kern w:val="0"/>
                <w:sz w:val="24"/>
                <w:szCs w:val="24"/>
                <w:highlight w:val="none"/>
                <w14:textFill>
                  <w14:solidFill>
                    <w14:schemeClr w14:val="tx1"/>
                  </w14:solidFill>
                </w14:textFill>
              </w:rPr>
              <w:t>交流慢充时间ª (h)</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&lt;8(5%-100%)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1.15</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悬挂系统</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前麦弗逊独立悬挂/后扭力梁式悬挂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1.16</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转向系统</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EPS电动助力转向系统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1.17</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b/>
                <w:bCs/>
                <w:color w:val="000000"/>
                <w:kern w:val="0"/>
                <w:sz w:val="24"/>
                <w:szCs w:val="24"/>
                <w:highlight w:val="none"/>
              </w:rPr>
              <w:t>制动系统</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前/后盘式制动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9729"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基础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1.18</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ESC车身稳定控制系统</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1.19</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color w:val="000000"/>
                <w:kern w:val="0"/>
                <w:sz w:val="24"/>
                <w:szCs w:val="24"/>
                <w:highlight w:val="none"/>
              </w:rPr>
              <w:t>胎压监测系统</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1.20</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后驻车雷达</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1.21</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全车三点式安全带</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1.22</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电子防盗系统</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9729"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座椅布局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1.23</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lang w:eastAsia="zh-CN"/>
              </w:rPr>
            </w:pPr>
            <w:r>
              <w:rPr>
                <w:rFonts w:hint="eastAsia" w:ascii="宋体" w:hAnsi="宋体" w:eastAsia="宋体" w:cs="宋体"/>
                <w:kern w:val="0"/>
                <w:sz w:val="24"/>
                <w:szCs w:val="24"/>
                <w:highlight w:val="none"/>
              </w:rPr>
              <w:t>▲</w:t>
            </w:r>
            <w:r>
              <w:rPr>
                <w:rFonts w:hint="eastAsia" w:ascii="宋体" w:hAnsi="宋体" w:eastAsia="宋体" w:cs="宋体"/>
                <w:color w:val="000000"/>
                <w:kern w:val="0"/>
                <w:sz w:val="24"/>
                <w:szCs w:val="24"/>
                <w:highlight w:val="none"/>
              </w:rPr>
              <w:t>2+2+3 七座</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9729"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外观装备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1.24</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满天星格栅</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1.25</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透镜式卤素前大灯+卤素尾灯</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1.26</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LED后雾灯</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1.27</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LED日间行车灯</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1.28</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扰流板带LED高位刹车灯</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1.29</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电动调节外后视镜</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1.30</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手动防眩目内后视镜</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1.31</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车漆颜色</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sz w:val="24"/>
                <w:szCs w:val="24"/>
                <w:highlight w:val="none"/>
              </w:rPr>
              <w:t>白色</w:t>
            </w:r>
            <w:r>
              <w:rPr>
                <w:rFonts w:hint="eastAsia" w:ascii="宋体" w:hAnsi="宋体" w:eastAsia="宋体" w:cs="宋体"/>
                <w:color w:val="000000"/>
                <w:sz w:val="24"/>
                <w:szCs w:val="24"/>
                <w:highlight w:val="none"/>
                <w:lang w:val="en-US" w:eastAsia="zh-CN"/>
              </w:rPr>
              <w:t>/黑色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9729"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安全操控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1.32</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超高强度承载式车身</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1.33</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主副驾安全气囊</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1.34</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后驻车雷达</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1.35</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全车三点式安全带</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1.36</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电子防盗系统</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9729"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内饰空间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1.37</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lang w:eastAsia="zh-CN"/>
              </w:rPr>
              <w:t>全皮</w:t>
            </w:r>
            <w:r>
              <w:rPr>
                <w:rFonts w:hint="eastAsia" w:ascii="宋体" w:hAnsi="宋体" w:eastAsia="宋体" w:cs="宋体"/>
                <w:color w:val="000000"/>
                <w:kern w:val="0"/>
                <w:sz w:val="24"/>
                <w:szCs w:val="24"/>
                <w:highlight w:val="none"/>
              </w:rPr>
              <w:t>座椅/灰色内饰饰板</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1.38</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主驾6向手动调节+副驾4向手动调节</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1.39</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多功能方向盘</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1.40</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自动换挡杆</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9729"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其他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1.41</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高分辨率≥</w:t>
            </w:r>
            <w:r>
              <w:rPr>
                <w:rFonts w:hint="eastAsia" w:ascii="宋体" w:hAnsi="宋体" w:eastAsia="宋体" w:cs="宋体"/>
                <w:color w:val="000000"/>
                <w:kern w:val="0"/>
                <w:sz w:val="24"/>
                <w:szCs w:val="24"/>
                <w:highlight w:val="none"/>
                <w:lang w:val="en-US" w:eastAsia="zh-CN"/>
              </w:rPr>
              <w:t>8</w:t>
            </w:r>
            <w:r>
              <w:rPr>
                <w:rFonts w:hint="eastAsia" w:ascii="宋体" w:hAnsi="宋体" w:eastAsia="宋体" w:cs="宋体"/>
                <w:color w:val="000000"/>
                <w:kern w:val="0"/>
                <w:sz w:val="24"/>
                <w:szCs w:val="24"/>
                <w:highlight w:val="none"/>
              </w:rPr>
              <w:t>英寸液晶仪表屏</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1.42</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≥4扬声器音响系统</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1.43</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四门车窗电动升降</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1.44</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电子驻车制动系统</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1.45</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定速巡航</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1.46</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后部独立空调</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1.47</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倒车影像</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1.48</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行车记录仪</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1.49</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全车贴膜</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1.50</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default"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加配1个7KW慢充</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15" w:type="dxa"/>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1.51</w:t>
            </w:r>
          </w:p>
        </w:tc>
        <w:tc>
          <w:tcPr>
            <w:tcW w:w="389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default"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4个铝合金轮毂</w:t>
            </w:r>
          </w:p>
        </w:tc>
        <w:tc>
          <w:tcPr>
            <w:tcW w:w="50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r>
    </w:tbl>
    <w:p>
      <w:pPr>
        <w:widowControl/>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注：</w:t>
      </w:r>
    </w:p>
    <w:p>
      <w:pPr>
        <w:widowControl/>
        <w:numPr>
          <w:ilvl w:val="0"/>
          <w:numId w:val="1"/>
        </w:numPr>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“a”快充时间为电池电量由20%充至80%所需时间，慢充时间为由5%充至100%所需时间；</w:t>
      </w:r>
    </w:p>
    <w:p>
      <w:pPr>
        <w:widowControl/>
        <w:numPr>
          <w:ilvl w:val="0"/>
          <w:numId w:val="1"/>
        </w:numPr>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采购内容及要求及内容中含“●”表示投标人响应必须有的功能或配置，投标人须如实谨慎响应。</w:t>
      </w:r>
    </w:p>
    <w:p>
      <w:pPr>
        <w:widowControl/>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（二）其它要求</w:t>
      </w:r>
    </w:p>
    <w:p>
      <w:pPr>
        <w:widowControl/>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1、本次采购的车辆，投标人须保证提供的所有车辆必须是原厂正规合格、品质优良的车辆，技术资料齐全、满足招标文件的基本要求。</w:t>
      </w:r>
    </w:p>
    <w:p>
      <w:pPr>
        <w:widowControl/>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2、投标人须提供所报车辆的全套配置清单（含数量及型号）和价格及产地。</w:t>
      </w:r>
    </w:p>
    <w:p>
      <w:pPr>
        <w:widowControl/>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3、投标人提供的车辆的技术规范等有关资料必须符合现行我国及我市相应的有关标准、规范要求。技术参数与配置要求不低于本采购项目提供的技术参数与配置要求。</w:t>
      </w:r>
    </w:p>
    <w:p>
      <w:pPr>
        <w:widowControl/>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投标人应明确商务及技术要求存在正负偏离情况，对照招标文件要求，逐条说明所实施的内容已对采购人的技术规格、商务要求做出了实质性的响应，或申明与技术规范书、商务要求条文的偏差和例外并列于《技术规格和商务偏离表》中。特别对于有具体参数要求的指标，投标人必须提供投标响应的具体内容说明。</w:t>
      </w:r>
    </w:p>
    <w:p>
      <w:pPr>
        <w:widowControl/>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5、投标人必须提供加盖投标人公章的投标车辆最新彩页，并对彩页资料的真实性及与所投车辆的符合性负责。</w:t>
      </w:r>
    </w:p>
    <w:p>
      <w:pPr>
        <w:widowControl/>
        <w:spacing w:line="360" w:lineRule="auto"/>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投标车辆应为交通部认可的定型车，确保车辆可以到厦门市车管所顺利办理上牌、采购人顺利年检等相关手续。若因车辆问题无法办理牌照，中标人应承担相应责任。投标人提供的车辆制造标准、安装标准及技术规范等有关资料必须符合国家标准、行业标准及规范要求。</w:t>
      </w:r>
    </w:p>
    <w:p>
      <w:pPr>
        <w:widowControl/>
        <w:spacing w:line="360" w:lineRule="auto"/>
        <w:ind w:firstLine="482" w:firstLineChars="200"/>
        <w:jc w:val="left"/>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7、①若一旦中标，中标人应在货到采购人指定地后及时到厦门市车管所办妥本次招标车辆的行驶牌照，办理行驶牌照的费用由中标人承担；若因车辆质量、型号等问题无法办理牌照，中标人应承担相应责任，并支付</w:t>
      </w:r>
      <w:bookmarkStart w:id="1" w:name="_GoBack"/>
      <w:bookmarkEnd w:id="1"/>
      <w:r>
        <w:rPr>
          <w:rFonts w:hint="eastAsia" w:ascii="宋体" w:hAnsi="宋体" w:eastAsia="宋体" w:cs="宋体"/>
          <w:b/>
          <w:bCs/>
          <w:color w:val="000000"/>
          <w:kern w:val="0"/>
          <w:sz w:val="24"/>
          <w:szCs w:val="24"/>
          <w:highlight w:val="none"/>
        </w:rPr>
        <w:t>给采购人中标总价的5%作为违约金。②若一旦中标，所投标的车辆均需满足年检要求，以便采购人可顺利通过年检；若年检过程中出现任何问题，中标人愿意无条件且无偿协助、配合采购人完成年检手续；若因车辆问题导致年检不通过，采购人有权退回所购车辆，中标人应全额退还已支付的所有款项，并按中标总价的5%承担违约金，此外，中标人需承担由此给采购人造成的全部损失。投标人必须在投标文件中对此作出书面承诺。</w:t>
      </w:r>
    </w:p>
    <w:p>
      <w:pPr>
        <w:widowControl/>
        <w:numPr>
          <w:ilvl w:val="0"/>
          <w:numId w:val="2"/>
        </w:numPr>
        <w:spacing w:line="360" w:lineRule="auto"/>
        <w:ind w:firstLine="480" w:firstLineChars="20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因中标人原因造成未按承诺的时间交车并办好所有相关手续的，中标人需承担相应的违约责任。交货期延误10日历天内的,中标人违约金按每拖延 1日历天向采购人支付合同总价款的1%累计计取；交货期延误超过10日历天（含）的，中标人违约金则按每拖延1日历天向采购人支付合同总价款的 2%累计计取，且采购人有权单方面终止合同而不承担违约责任，中标人还应赔偿采购人由此引起的一切损失。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C7E8A"/>
    <w:multiLevelType w:val="singleLevel"/>
    <w:tmpl w:val="804C7E8A"/>
    <w:lvl w:ilvl="0" w:tentative="0">
      <w:start w:val="1"/>
      <w:numFmt w:val="decimal"/>
      <w:lvlText w:val="%1."/>
      <w:lvlJc w:val="left"/>
      <w:pPr>
        <w:tabs>
          <w:tab w:val="left" w:pos="312"/>
        </w:tabs>
      </w:pPr>
    </w:lvl>
  </w:abstractNum>
  <w:abstractNum w:abstractNumId="1">
    <w:nsid w:val="F995ED16"/>
    <w:multiLevelType w:val="singleLevel"/>
    <w:tmpl w:val="F995ED16"/>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5B6C0035"/>
    <w:rsid w:val="5B6C0035"/>
    <w:rsid w:val="5FE33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yhw3"/>
    <w:basedOn w:val="1"/>
    <w:autoRedefine/>
    <w:qFormat/>
    <w:uiPriority w:val="0"/>
    <w:pPr>
      <w:ind w:firstLine="640" w:firstLineChars="200"/>
    </w:pPr>
    <w:rPr>
      <w:rFonts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2024-01-08T03:57:00Z</dcterms:created>
  <dc:creator>叶阿娜</dc:creator>
  <cp:lastModifiedBy>叶阿娜</cp:lastModifiedBy>
  <cp:lastPrinted>2024-01-10T02:54:34Z</cp:lastPrinted>
  <dcterms:modified xsi:type="dcterms:W3CDTF">2024-01-10T02:54:39Z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7BE05B6A3C7649F7A19F0D4D22ECFD0F_11</vt:lpwstr>
  </property>
</Properties>
</file>