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outlineLvl w:val="1"/>
      </w:pPr>
      <w:r>
        <w:rPr>
          <w:rFonts w:hint="eastAsia"/>
          <w:b/>
          <w:sz w:val="36"/>
          <w:lang w:eastAsia="zh-CN"/>
        </w:rPr>
        <w:t>一次性餐具</w:t>
      </w:r>
      <w:r>
        <w:rPr>
          <w:b/>
          <w:sz w:val="36"/>
        </w:rPr>
        <w:t>招标内容及要求</w:t>
      </w:r>
    </w:p>
    <w:p>
      <w:pPr>
        <w:pStyle w:val="4"/>
        <w:jc w:val="both"/>
        <w:outlineLvl w:val="2"/>
      </w:pPr>
      <w:r>
        <w:rPr>
          <w:b/>
          <w:sz w:val="28"/>
        </w:rPr>
        <w:t>一、项目概况（采购标的）</w:t>
      </w:r>
    </w:p>
    <w:p>
      <w:pPr>
        <w:pStyle w:val="4"/>
        <w:ind w:firstLine="480"/>
        <w:jc w:val="both"/>
      </w:pPr>
      <w:r>
        <w:rPr>
          <w:rFonts w:ascii="宋体" w:hAnsi="宋体" w:eastAsia="宋体" w:cs="宋体"/>
          <w:sz w:val="24"/>
        </w:rPr>
        <w:t>1、本项目为</w:t>
      </w:r>
      <w:r>
        <w:rPr>
          <w:rFonts w:hint="eastAsia" w:ascii="宋体" w:hAnsi="宋体" w:eastAsia="宋体" w:cs="宋体"/>
          <w:sz w:val="24"/>
          <w:lang w:eastAsia="zh-CN"/>
        </w:rPr>
        <w:t>厦门市第三医院职工食堂一次性餐具</w:t>
      </w:r>
      <w:r>
        <w:rPr>
          <w:rFonts w:ascii="宋体" w:hAnsi="宋体" w:eastAsia="宋体" w:cs="宋体"/>
          <w:sz w:val="24"/>
        </w:rPr>
        <w:t>类产品采购，中标人应按照采购人需求进行分批次供货，具体数量采购人将根据实际需求情况下单，最终按实结算，采购物品及规格详见“采购清单及要求”。</w:t>
      </w:r>
    </w:p>
    <w:p>
      <w:pPr>
        <w:pStyle w:val="4"/>
        <w:ind w:firstLine="480"/>
        <w:jc w:val="both"/>
      </w:pPr>
      <w:r>
        <w:rPr>
          <w:rFonts w:ascii="宋体" w:hAnsi="宋体" w:eastAsia="宋体" w:cs="宋体"/>
          <w:sz w:val="24"/>
        </w:rPr>
        <w:t>2、供货期限：合同签订之日起</w:t>
      </w:r>
      <w:r>
        <w:rPr>
          <w:rFonts w:hint="eastAsia" w:ascii="宋体" w:hAnsi="宋体" w:eastAsia="宋体" w:cs="宋体"/>
          <w:sz w:val="24"/>
          <w:lang w:eastAsia="zh-CN"/>
        </w:rPr>
        <w:t>二</w:t>
      </w:r>
      <w:r>
        <w:rPr>
          <w:rFonts w:ascii="宋体" w:hAnsi="宋体" w:eastAsia="宋体" w:cs="宋体"/>
          <w:sz w:val="24"/>
        </w:rPr>
        <w:t>年。</w:t>
      </w:r>
    </w:p>
    <w:p>
      <w:pPr>
        <w:pStyle w:val="4"/>
        <w:ind w:firstLine="480"/>
        <w:jc w:val="both"/>
      </w:pPr>
      <w:r>
        <w:rPr>
          <w:rFonts w:ascii="宋体" w:hAnsi="宋体" w:eastAsia="宋体" w:cs="宋体"/>
          <w:sz w:val="24"/>
        </w:rPr>
        <w:t>3、核心产品：由于本项目采购产品的特殊性,本项目不适用核心产品相关规定。</w:t>
      </w:r>
    </w:p>
    <w:p>
      <w:pPr>
        <w:pStyle w:val="4"/>
        <w:jc w:val="both"/>
        <w:outlineLvl w:val="2"/>
      </w:pPr>
      <w:r>
        <w:rPr>
          <w:b/>
          <w:sz w:val="28"/>
        </w:rPr>
        <w:t>二、技术和服务要求（以“★”标示的内容为不允许负偏离的实质性要求）</w:t>
      </w:r>
    </w:p>
    <w:p>
      <w:pPr>
        <w:pStyle w:val="4"/>
        <w:ind w:firstLine="480"/>
        <w:jc w:val="both"/>
        <w:rPr>
          <w:rFonts w:ascii="宋体" w:hAnsi="宋体" w:eastAsia="宋体" w:cs="宋体"/>
          <w:b/>
          <w:sz w:val="24"/>
        </w:rPr>
      </w:pPr>
      <w:r>
        <w:rPr>
          <w:rFonts w:ascii="Calibri" w:hAnsi="Calibri" w:eastAsia="Calibri" w:cs="Calibri"/>
          <w:b/>
          <w:sz w:val="24"/>
        </w:rPr>
        <w:t>1</w:t>
      </w:r>
      <w:r>
        <w:rPr>
          <w:rFonts w:ascii="宋体" w:hAnsi="宋体" w:eastAsia="宋体" w:cs="宋体"/>
          <w:b/>
          <w:sz w:val="24"/>
        </w:rPr>
        <w:t>、采购清单及要求</w:t>
      </w:r>
    </w:p>
    <w:tbl>
      <w:tblPr>
        <w:tblStyle w:val="2"/>
        <w:tblW w:w="8601" w:type="dxa"/>
        <w:tblInd w:w="-150" w:type="dxa"/>
        <w:tblLayout w:type="fixed"/>
        <w:tblCellMar>
          <w:top w:w="0" w:type="dxa"/>
          <w:left w:w="30" w:type="dxa"/>
          <w:bottom w:w="0" w:type="dxa"/>
          <w:right w:w="30" w:type="dxa"/>
        </w:tblCellMar>
      </w:tblPr>
      <w:tblGrid>
        <w:gridCol w:w="747"/>
        <w:gridCol w:w="2364"/>
        <w:gridCol w:w="1230"/>
        <w:gridCol w:w="765"/>
        <w:gridCol w:w="2205"/>
        <w:gridCol w:w="1290"/>
      </w:tblGrid>
      <w:tr>
        <w:tblPrEx>
          <w:tblCellMar>
            <w:top w:w="0" w:type="dxa"/>
            <w:left w:w="30" w:type="dxa"/>
            <w:bottom w:w="0" w:type="dxa"/>
            <w:right w:w="30" w:type="dxa"/>
          </w:tblCellMar>
        </w:tblPrEx>
        <w:trPr>
          <w:trHeight w:val="485"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序号</w:t>
            </w:r>
          </w:p>
        </w:tc>
        <w:tc>
          <w:tcPr>
            <w:tcW w:w="2364" w:type="dxa"/>
            <w:tcBorders>
              <w:top w:val="single" w:color="auto" w:sz="6" w:space="0"/>
              <w:left w:val="single" w:color="auto" w:sz="6" w:space="0"/>
              <w:bottom w:val="single" w:color="auto" w:sz="6" w:space="0"/>
              <w:right w:val="nil"/>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名称</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容量</w:t>
            </w:r>
          </w:p>
        </w:tc>
        <w:tc>
          <w:tcPr>
            <w:tcW w:w="765" w:type="dxa"/>
            <w:tcBorders>
              <w:top w:val="single" w:color="auto" w:sz="6" w:space="0"/>
              <w:left w:val="nil"/>
              <w:bottom w:val="single" w:color="auto" w:sz="6" w:space="0"/>
              <w:right w:val="nil"/>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克数</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材质</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lang w:eastAsia="zh-CN"/>
              </w:rPr>
            </w:pPr>
            <w:r>
              <w:rPr>
                <w:rFonts w:hint="eastAsia" w:ascii="宋体" w:eastAsia="宋体" w:cs="宋体"/>
                <w:color w:val="000000"/>
                <w:kern w:val="0"/>
                <w:sz w:val="24"/>
                <w:szCs w:val="24"/>
                <w:lang w:eastAsia="zh-CN"/>
              </w:rPr>
              <w:t>备注</w:t>
            </w: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四格餐盒</w:t>
            </w:r>
          </w:p>
        </w:tc>
        <w:tc>
          <w:tcPr>
            <w:tcW w:w="123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1000ml</w:t>
            </w:r>
          </w:p>
        </w:tc>
        <w:tc>
          <w:tcPr>
            <w:tcW w:w="76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36</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z w:val="24"/>
                <w:szCs w:val="24"/>
              </w:rPr>
            </w:pPr>
            <w:r>
              <w:rPr>
                <w:rFonts w:hint="eastAsia" w:ascii="宋体" w:eastAsia="宋体" w:cs="宋体"/>
                <w:color w:val="000000"/>
                <w:kern w:val="0"/>
                <w:sz w:val="24"/>
                <w:szCs w:val="24"/>
              </w:rPr>
              <w:t>食品</w:t>
            </w:r>
            <w:r>
              <w:rPr>
                <w:rFonts w:ascii="宋体" w:eastAsia="宋体" w:cs="宋体"/>
                <w:color w:val="000000"/>
                <w:kern w:val="0"/>
                <w:sz w:val="24"/>
                <w:szCs w:val="24"/>
              </w:rPr>
              <w:t>级</w:t>
            </w:r>
            <w:r>
              <w:rPr>
                <w:rFonts w:hint="eastAsia" w:ascii="宋体" w:eastAsia="宋体" w:cs="宋体"/>
                <w:color w:val="000000"/>
                <w:kern w:val="0"/>
                <w:sz w:val="24"/>
                <w:szCs w:val="24"/>
              </w:rPr>
              <w:t>PP</w:t>
            </w:r>
          </w:p>
        </w:tc>
        <w:tc>
          <w:tcPr>
            <w:tcW w:w="12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default" w:ascii="宋体" w:eastAsia="宋体" w:cs="宋体"/>
                <w:color w:val="000000"/>
                <w:kern w:val="0"/>
                <w:sz w:val="24"/>
                <w:szCs w:val="24"/>
                <w:lang w:val="en-US" w:eastAsia="zh-CN"/>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2</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汤盒</w:t>
            </w:r>
          </w:p>
        </w:tc>
        <w:tc>
          <w:tcPr>
            <w:tcW w:w="123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450ml</w:t>
            </w:r>
          </w:p>
        </w:tc>
        <w:tc>
          <w:tcPr>
            <w:tcW w:w="76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13</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z w:val="24"/>
                <w:szCs w:val="24"/>
              </w:rPr>
            </w:pPr>
            <w:r>
              <w:rPr>
                <w:rFonts w:hint="eastAsia" w:ascii="宋体" w:eastAsia="宋体" w:cs="宋体"/>
                <w:color w:val="000000"/>
                <w:kern w:val="0"/>
                <w:sz w:val="24"/>
                <w:szCs w:val="24"/>
              </w:rPr>
              <w:t>食品级PP</w:t>
            </w:r>
          </w:p>
        </w:tc>
        <w:tc>
          <w:tcPr>
            <w:tcW w:w="12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default" w:ascii="宋体" w:eastAsia="宋体" w:cs="宋体"/>
                <w:color w:val="000000"/>
                <w:kern w:val="0"/>
                <w:sz w:val="24"/>
                <w:szCs w:val="24"/>
                <w:lang w:val="en-US" w:eastAsia="zh-CN"/>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hAnsiTheme="minorHAnsi"/>
                <w:color w:val="000000"/>
                <w:kern w:val="0"/>
                <w:sz w:val="24"/>
                <w:szCs w:val="24"/>
                <w:lang w:val="en-US" w:eastAsia="zh-CN" w:bidi="ar-SA"/>
              </w:rPr>
            </w:pPr>
            <w:r>
              <w:rPr>
                <w:rFonts w:hint="eastAsia" w:ascii="宋体" w:eastAsia="宋体" w:cs="宋体"/>
                <w:color w:val="000000"/>
                <w:kern w:val="0"/>
                <w:sz w:val="24"/>
                <w:szCs w:val="24"/>
              </w:rPr>
              <w:t>3</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hAnsiTheme="minorHAnsi"/>
                <w:color w:val="000000"/>
                <w:kern w:val="0"/>
                <w:sz w:val="24"/>
                <w:szCs w:val="24"/>
                <w:lang w:val="en-US" w:eastAsia="zh-CN" w:bidi="ar-SA"/>
              </w:rPr>
            </w:pPr>
            <w:r>
              <w:rPr>
                <w:rFonts w:hint="eastAsia" w:ascii="宋体" w:eastAsia="宋体" w:cs="宋体"/>
                <w:color w:val="000000"/>
                <w:kern w:val="0"/>
                <w:sz w:val="24"/>
                <w:szCs w:val="24"/>
              </w:rPr>
              <w:t>长方形餐盒</w:t>
            </w:r>
          </w:p>
        </w:tc>
        <w:tc>
          <w:tcPr>
            <w:tcW w:w="123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hAnsiTheme="minorHAnsi"/>
                <w:color w:val="000000"/>
                <w:kern w:val="0"/>
                <w:sz w:val="24"/>
                <w:szCs w:val="24"/>
                <w:lang w:val="en-US" w:eastAsia="zh-CN" w:bidi="ar-SA"/>
              </w:rPr>
            </w:pPr>
            <w:r>
              <w:rPr>
                <w:rFonts w:hint="eastAsia" w:ascii="宋体" w:eastAsia="宋体" w:cs="宋体"/>
                <w:color w:val="000000"/>
                <w:kern w:val="0"/>
                <w:sz w:val="24"/>
                <w:szCs w:val="24"/>
              </w:rPr>
              <w:t>750ml</w:t>
            </w:r>
          </w:p>
        </w:tc>
        <w:tc>
          <w:tcPr>
            <w:tcW w:w="76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hAnsiTheme="minorHAnsi"/>
                <w:color w:val="000000"/>
                <w:kern w:val="0"/>
                <w:sz w:val="24"/>
                <w:szCs w:val="24"/>
                <w:lang w:val="en-US" w:eastAsia="zh-CN" w:bidi="ar-SA"/>
              </w:rPr>
            </w:pPr>
            <w:r>
              <w:rPr>
                <w:rFonts w:hint="eastAsia" w:ascii="宋体" w:eastAsia="宋体" w:cs="宋体"/>
                <w:color w:val="000000"/>
                <w:kern w:val="0"/>
                <w:sz w:val="24"/>
                <w:szCs w:val="24"/>
              </w:rPr>
              <w:t>21</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hAnsiTheme="minorHAnsi"/>
                <w:color w:val="000000"/>
                <w:kern w:val="0"/>
                <w:sz w:val="24"/>
                <w:szCs w:val="24"/>
                <w:lang w:val="en-US" w:eastAsia="zh-CN" w:bidi="ar-SA"/>
              </w:rPr>
            </w:pPr>
            <w:r>
              <w:rPr>
                <w:rFonts w:hint="eastAsia" w:ascii="宋体" w:eastAsia="宋体" w:cs="宋体"/>
                <w:color w:val="000000"/>
                <w:kern w:val="0"/>
                <w:sz w:val="24"/>
                <w:szCs w:val="24"/>
              </w:rPr>
              <w:t>食品级PP</w:t>
            </w:r>
          </w:p>
        </w:tc>
        <w:tc>
          <w:tcPr>
            <w:tcW w:w="12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default" w:ascii="宋体" w:eastAsia="宋体" w:cs="宋体"/>
                <w:color w:val="000000"/>
                <w:kern w:val="0"/>
                <w:sz w:val="24"/>
                <w:szCs w:val="24"/>
                <w:lang w:val="en-US" w:eastAsia="zh-CN"/>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4</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一次性四件套</w:t>
            </w:r>
          </w:p>
          <w:p>
            <w:pPr>
              <w:jc w:val="center"/>
              <w:rPr>
                <w:rFonts w:hint="eastAsia" w:ascii="宋体" w:eastAsia="宋体" w:cs="宋体"/>
                <w:color w:val="000000"/>
                <w:kern w:val="0"/>
                <w:sz w:val="24"/>
                <w:szCs w:val="24"/>
              </w:rPr>
            </w:pPr>
            <w:r>
              <w:rPr>
                <w:rFonts w:hint="eastAsia" w:ascii="宋体" w:eastAsia="宋体" w:cs="宋体"/>
                <w:sz w:val="24"/>
                <w:szCs w:val="24"/>
              </w:rPr>
              <w:t>（筷，勺，纸，牙签）</w:t>
            </w:r>
          </w:p>
        </w:tc>
        <w:tc>
          <w:tcPr>
            <w:tcW w:w="123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p>
        </w:tc>
        <w:tc>
          <w:tcPr>
            <w:tcW w:w="76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sz w:val="24"/>
                <w:szCs w:val="24"/>
              </w:rPr>
            </w:pPr>
            <w:r>
              <w:rPr>
                <w:rFonts w:hint="eastAsia" w:ascii="宋体" w:eastAsia="宋体" w:cs="宋体"/>
                <w:color w:val="000000"/>
                <w:kern w:val="0"/>
                <w:sz w:val="24"/>
                <w:szCs w:val="24"/>
              </w:rPr>
              <w:t>竹</w:t>
            </w:r>
            <w:r>
              <w:rPr>
                <w:rFonts w:ascii="宋体" w:eastAsia="宋体" w:cs="宋体"/>
                <w:color w:val="000000"/>
                <w:kern w:val="0"/>
                <w:sz w:val="24"/>
                <w:szCs w:val="24"/>
              </w:rPr>
              <w:t>，</w:t>
            </w:r>
            <w:r>
              <w:rPr>
                <w:rFonts w:hint="eastAsia" w:ascii="宋体" w:eastAsia="宋体" w:cs="宋体"/>
                <w:color w:val="000000"/>
                <w:kern w:val="0"/>
                <w:sz w:val="24"/>
                <w:szCs w:val="24"/>
              </w:rPr>
              <w:t>PP等</w:t>
            </w:r>
            <w:r>
              <w:rPr>
                <w:rFonts w:ascii="宋体" w:eastAsia="宋体" w:cs="宋体"/>
                <w:color w:val="000000"/>
                <w:kern w:val="0"/>
                <w:sz w:val="24"/>
                <w:szCs w:val="24"/>
              </w:rPr>
              <w:t>材</w:t>
            </w:r>
            <w:r>
              <w:rPr>
                <w:rFonts w:hint="eastAsia" w:ascii="宋体" w:eastAsia="宋体" w:cs="宋体"/>
                <w:color w:val="000000"/>
                <w:kern w:val="0"/>
                <w:sz w:val="24"/>
                <w:szCs w:val="24"/>
              </w:rPr>
              <w:t>质</w:t>
            </w:r>
          </w:p>
        </w:tc>
        <w:tc>
          <w:tcPr>
            <w:tcW w:w="12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default" w:ascii="宋体" w:eastAsia="宋体" w:cs="宋体"/>
                <w:color w:val="000000"/>
                <w:kern w:val="0"/>
                <w:sz w:val="24"/>
                <w:szCs w:val="24"/>
                <w:lang w:val="en-US" w:eastAsia="zh-CN"/>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5</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ind w:right="120"/>
              <w:jc w:val="center"/>
              <w:rPr>
                <w:rFonts w:hint="eastAsia" w:ascii="宋体" w:eastAsia="宋体" w:cs="宋体"/>
                <w:color w:val="000000"/>
                <w:kern w:val="0"/>
                <w:sz w:val="24"/>
                <w:szCs w:val="24"/>
              </w:rPr>
            </w:pPr>
            <w:r>
              <w:rPr>
                <w:rFonts w:hint="eastAsia" w:ascii="宋体" w:eastAsia="宋体" w:cs="宋体"/>
                <w:color w:val="000000"/>
                <w:kern w:val="0"/>
                <w:sz w:val="24"/>
                <w:szCs w:val="24"/>
              </w:rPr>
              <w:t>汤碗</w:t>
            </w:r>
          </w:p>
        </w:tc>
        <w:tc>
          <w:tcPr>
            <w:tcW w:w="123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1000ml</w:t>
            </w:r>
          </w:p>
        </w:tc>
        <w:tc>
          <w:tcPr>
            <w:tcW w:w="76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23.6</w:t>
            </w:r>
          </w:p>
        </w:tc>
        <w:tc>
          <w:tcPr>
            <w:tcW w:w="2205"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r>
              <w:rPr>
                <w:sz w:val="24"/>
                <w:szCs w:val="24"/>
              </w:rPr>
              <w:t>食品级pp料材</w:t>
            </w:r>
            <w:r>
              <w:rPr>
                <w:rFonts w:hint="eastAsia"/>
                <w:sz w:val="24"/>
                <w:szCs w:val="24"/>
              </w:rPr>
              <w:t>质</w:t>
            </w:r>
          </w:p>
        </w:tc>
        <w:tc>
          <w:tcPr>
            <w:tcW w:w="1290" w:type="dxa"/>
            <w:tcBorders>
              <w:top w:val="single" w:color="auto" w:sz="6" w:space="0"/>
              <w:left w:val="single" w:color="auto" w:sz="6" w:space="0"/>
              <w:bottom w:val="single" w:color="auto" w:sz="6" w:space="0"/>
              <w:right w:val="single" w:color="auto" w:sz="6" w:space="0"/>
            </w:tcBorders>
            <w:shd w:val="solid" w:color="FFFFFF" w:fill="auto"/>
            <w:vAlign w:val="center"/>
          </w:tcPr>
          <w:p>
            <w:pPr>
              <w:autoSpaceDE w:val="0"/>
              <w:autoSpaceDN w:val="0"/>
              <w:adjustRightInd w:val="0"/>
              <w:jc w:val="center"/>
              <w:rPr>
                <w:rFonts w:hint="eastAsia" w:ascii="宋体" w:eastAsia="宋体" w:cs="宋体"/>
                <w:color w:val="000000"/>
                <w:kern w:val="0"/>
                <w:sz w:val="24"/>
                <w:szCs w:val="24"/>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6</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长方形餐盒</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500ml</w:t>
            </w:r>
          </w:p>
        </w:tc>
        <w:tc>
          <w:tcPr>
            <w:tcW w:w="7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17.5</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sz w:val="24"/>
                <w:szCs w:val="24"/>
              </w:rPr>
              <w:t>食品级pp料材</w:t>
            </w:r>
            <w:r>
              <w:rPr>
                <w:rFonts w:hint="eastAsia"/>
                <w:sz w:val="24"/>
                <w:szCs w:val="24"/>
              </w:rPr>
              <w:t>质</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7</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p>
            <w:pPr>
              <w:jc w:val="center"/>
              <w:rPr>
                <w:rFonts w:hint="eastAsia" w:ascii="宋体" w:eastAsia="宋体" w:cs="宋体"/>
                <w:sz w:val="24"/>
                <w:szCs w:val="24"/>
              </w:rPr>
            </w:pPr>
            <w:r>
              <w:rPr>
                <w:rFonts w:hint="eastAsia" w:ascii="宋体" w:eastAsia="宋体" w:cs="宋体"/>
                <w:sz w:val="24"/>
                <w:szCs w:val="24"/>
              </w:rPr>
              <w:t>新料背心袋12*17cm</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rPr>
                <w:rFonts w:hint="eastAsia" w:ascii="宋体" w:eastAsia="宋体" w:cs="宋体"/>
                <w:color w:val="000000"/>
                <w:kern w:val="0"/>
                <w:sz w:val="24"/>
                <w:szCs w:val="24"/>
              </w:rPr>
            </w:pPr>
            <w:r>
              <w:rPr>
                <w:rFonts w:hint="eastAsia" w:ascii="宋体" w:eastAsia="宋体" w:cs="宋体"/>
                <w:color w:val="000000"/>
                <w:kern w:val="0"/>
                <w:sz w:val="24"/>
                <w:szCs w:val="24"/>
              </w:rPr>
              <w:t>500个/包</w:t>
            </w:r>
          </w:p>
        </w:tc>
        <w:tc>
          <w:tcPr>
            <w:tcW w:w="7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250</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聚乙烯材质</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both"/>
              <w:rPr>
                <w:rFonts w:hint="eastAsia" w:ascii="宋体" w:eastAsia="宋体" w:cs="宋体"/>
                <w:color w:val="000000"/>
                <w:kern w:val="0"/>
                <w:sz w:val="24"/>
                <w:szCs w:val="24"/>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8</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p>
            <w:pPr>
              <w:jc w:val="center"/>
              <w:rPr>
                <w:rFonts w:hint="eastAsia" w:ascii="宋体" w:eastAsia="宋体" w:cs="宋体"/>
                <w:sz w:val="24"/>
                <w:szCs w:val="24"/>
              </w:rPr>
            </w:pPr>
            <w:r>
              <w:rPr>
                <w:rFonts w:hint="eastAsia" w:ascii="宋体" w:eastAsia="宋体" w:cs="宋体"/>
                <w:sz w:val="24"/>
                <w:szCs w:val="24"/>
              </w:rPr>
              <w:t>新料背心袋25*46cm</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100个/包</w:t>
            </w:r>
          </w:p>
        </w:tc>
        <w:tc>
          <w:tcPr>
            <w:tcW w:w="7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700</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聚乙烯材质</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tc>
      </w:tr>
      <w:tr>
        <w:tblPrEx>
          <w:tblCellMar>
            <w:top w:w="0" w:type="dxa"/>
            <w:left w:w="30" w:type="dxa"/>
            <w:bottom w:w="0" w:type="dxa"/>
            <w:right w:w="30" w:type="dxa"/>
          </w:tblCellMar>
        </w:tblPrEx>
        <w:trPr>
          <w:trHeight w:val="682" w:hRule="atLeast"/>
        </w:trPr>
        <w:tc>
          <w:tcPr>
            <w:tcW w:w="74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9</w:t>
            </w:r>
          </w:p>
        </w:tc>
        <w:tc>
          <w:tcPr>
            <w:tcW w:w="236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p>
            <w:pPr>
              <w:jc w:val="center"/>
              <w:rPr>
                <w:rFonts w:hint="eastAsia" w:ascii="宋体" w:eastAsia="宋体" w:cs="宋体"/>
                <w:sz w:val="24"/>
                <w:szCs w:val="24"/>
              </w:rPr>
            </w:pPr>
            <w:r>
              <w:rPr>
                <w:rFonts w:hint="eastAsia" w:ascii="宋体" w:eastAsia="宋体" w:cs="宋体"/>
                <w:sz w:val="24"/>
                <w:szCs w:val="24"/>
              </w:rPr>
              <w:t>新料背心袋30*55cm</w:t>
            </w:r>
          </w:p>
        </w:tc>
        <w:tc>
          <w:tcPr>
            <w:tcW w:w="123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100个/包</w:t>
            </w:r>
          </w:p>
        </w:tc>
        <w:tc>
          <w:tcPr>
            <w:tcW w:w="76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1000</w:t>
            </w:r>
          </w:p>
        </w:tc>
        <w:tc>
          <w:tcPr>
            <w:tcW w:w="220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r>
              <w:rPr>
                <w:rFonts w:hint="eastAsia" w:ascii="宋体" w:eastAsia="宋体" w:cs="宋体"/>
                <w:color w:val="000000"/>
                <w:kern w:val="0"/>
                <w:sz w:val="24"/>
                <w:szCs w:val="24"/>
              </w:rPr>
              <w:t>聚乙烯材质</w:t>
            </w:r>
          </w:p>
        </w:tc>
        <w:tc>
          <w:tcPr>
            <w:tcW w:w="129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eastAsia" w:ascii="宋体" w:eastAsia="宋体" w:cs="宋体"/>
                <w:color w:val="000000"/>
                <w:kern w:val="0"/>
                <w:sz w:val="24"/>
                <w:szCs w:val="24"/>
              </w:rPr>
            </w:pPr>
          </w:p>
        </w:tc>
      </w:tr>
    </w:tbl>
    <w:p>
      <w:pPr>
        <w:pStyle w:val="4"/>
        <w:ind w:firstLine="480"/>
        <w:jc w:val="both"/>
        <w:rPr>
          <w:rFonts w:ascii="宋体" w:hAnsi="宋体" w:eastAsia="宋体" w:cs="宋体"/>
          <w:b/>
          <w:sz w:val="24"/>
        </w:rPr>
      </w:pPr>
    </w:p>
    <w:p>
      <w:pPr>
        <w:pStyle w:val="4"/>
        <w:ind w:firstLine="317"/>
      </w:pPr>
      <w:r>
        <w:rPr>
          <w:rFonts w:ascii="宋体" w:hAnsi="宋体" w:eastAsia="宋体" w:cs="宋体"/>
          <w:sz w:val="24"/>
        </w:rPr>
        <w:t>注：由于本项目采购产品的特殊性，请各投标人综合考虑产品的适用性，选择具有最佳性能价格比的产品投标。</w:t>
      </w:r>
    </w:p>
    <w:p>
      <w:pPr>
        <w:pStyle w:val="4"/>
        <w:ind w:firstLine="317"/>
      </w:pPr>
      <w:r>
        <w:rPr>
          <w:rFonts w:ascii="宋体" w:hAnsi="宋体" w:eastAsia="宋体" w:cs="宋体"/>
          <w:b/>
          <w:sz w:val="24"/>
        </w:rPr>
        <w:t>2、产品要求</w:t>
      </w:r>
    </w:p>
    <w:p>
      <w:pPr>
        <w:pStyle w:val="4"/>
        <w:ind w:firstLine="317"/>
      </w:pPr>
      <w:r>
        <w:rPr>
          <w:rFonts w:ascii="宋体" w:hAnsi="宋体" w:eastAsia="宋体" w:cs="宋体"/>
          <w:sz w:val="24"/>
        </w:rPr>
        <w:t>2.1投标人所能供货的产品应至少包含“1、采购清单及要求”列明的产品。</w:t>
      </w:r>
    </w:p>
    <w:p>
      <w:pPr>
        <w:pStyle w:val="4"/>
        <w:ind w:firstLine="317"/>
      </w:pPr>
      <w:r>
        <w:rPr>
          <w:rFonts w:ascii="宋体" w:hAnsi="宋体" w:eastAsia="宋体" w:cs="宋体"/>
          <w:sz w:val="24"/>
        </w:rPr>
        <w:t>2.2“1、采购清单及要求”中列举的产品，投标人所供产品须保证质量，能够保障采购人的正常使用。</w:t>
      </w:r>
    </w:p>
    <w:p>
      <w:pPr>
        <w:pStyle w:val="4"/>
        <w:ind w:firstLine="317"/>
      </w:pPr>
      <w:r>
        <w:rPr>
          <w:rFonts w:ascii="宋体" w:hAnsi="宋体" w:eastAsia="宋体" w:cs="宋体"/>
          <w:sz w:val="24"/>
        </w:rPr>
        <w:t>2.3在实际履约过程中，采购人还可能采购清单外的产品，若采购人选择向中标人采购的，则该货物的采购单价按以下方式确定：①清单内有相同品种的，按本次所采购的同品种最小面积或尺寸规格货物的中标单价根据比例大小折算出新采购产品的单价，但折算后的单价不得超过万翔、夏商、沃尔玛等大型超商零售价，否则采购人有权不向其购买；②清单内无相同品种的，则采购人将另行向中标人询价。以上价格仅供参考，采购人可按询价的货物单价向中标人采购，也可向第三方采购。</w:t>
      </w:r>
    </w:p>
    <w:p>
      <w:pPr>
        <w:pStyle w:val="4"/>
        <w:ind w:firstLine="317"/>
      </w:pPr>
      <w:r>
        <w:rPr>
          <w:rFonts w:ascii="宋体" w:hAnsi="宋体" w:eastAsia="宋体" w:cs="宋体"/>
          <w:sz w:val="24"/>
        </w:rPr>
        <w:t>2.4若产品有保质期的，则供应商供货时，送达采购人处的产品剩余保质期不得低于保质期的70%。例如：产品的保质期为10个月，则送达采购人处时，产品的剩余保质期不得低于7个月。</w:t>
      </w:r>
    </w:p>
    <w:p>
      <w:pPr>
        <w:pStyle w:val="4"/>
        <w:ind w:firstLine="317"/>
      </w:pPr>
      <w:r>
        <w:rPr>
          <w:rFonts w:ascii="宋体" w:hAnsi="宋体" w:eastAsia="宋体" w:cs="宋体"/>
          <w:sz w:val="24"/>
        </w:rPr>
        <w:t>2.5到货货物必须附有厂家的出厂合格证明等。</w:t>
      </w:r>
    </w:p>
    <w:p>
      <w:pPr>
        <w:pStyle w:val="4"/>
        <w:ind w:firstLine="317"/>
      </w:pPr>
      <w:r>
        <w:rPr>
          <w:rFonts w:ascii="宋体" w:hAnsi="宋体" w:eastAsia="宋体" w:cs="宋体"/>
          <w:sz w:val="24"/>
        </w:rPr>
        <w:t>2.6投标人须保证提供的所有货物均为制造商原装出品的、全新的、包装完好的，符合国家有关质量、安全、环保标准的及招标文件提出的有关质量标准的产品。若提供的货物为假冒伪劣或三无产品，采购人有权要求中标人立即更换，由此产生的任何责任完全由供应商承担。</w:t>
      </w:r>
    </w:p>
    <w:p>
      <w:pPr>
        <w:pStyle w:val="4"/>
        <w:ind w:firstLine="317"/>
      </w:pPr>
      <w:r>
        <w:rPr>
          <w:rFonts w:ascii="宋体" w:hAnsi="宋体" w:eastAsia="宋体" w:cs="宋体"/>
          <w:sz w:val="24"/>
        </w:rPr>
        <w:t>2.7投标人必须按采购人所提供的参数和规格供货，若上述货物在供货期内发生暂时短缺或停产（不容易购买）的情况，在应当知道的当日或接到采购人订货通知后的1个日历日内书面告知采购人，双方协商后可更换不低于同档次的同类产品，相关资料将作为本项目供货合同的补充协议。</w:t>
      </w:r>
    </w:p>
    <w:p>
      <w:pPr>
        <w:pStyle w:val="4"/>
        <w:ind w:firstLine="317"/>
      </w:pPr>
      <w:r>
        <w:rPr>
          <w:rFonts w:ascii="宋体" w:hAnsi="宋体" w:eastAsia="宋体" w:cs="宋体"/>
          <w:sz w:val="24"/>
        </w:rPr>
        <w:t>2.8包装：投标人所供货物必须为制造商原厂包装，包装质量符合国家相关标准。货物要求有包装材料保护运至现场，没有统一规定包装标准的，应根据货物特点，保证货物运输的安全为原则进行包装，包装费用由投标人承担。因包装不良造成的损失、途中安全及费用全部由投标人负责。</w:t>
      </w:r>
    </w:p>
    <w:p>
      <w:pPr>
        <w:pStyle w:val="4"/>
        <w:ind w:firstLine="317"/>
      </w:pPr>
      <w:r>
        <w:rPr>
          <w:rFonts w:ascii="宋体" w:hAnsi="宋体" w:eastAsia="宋体" w:cs="宋体"/>
          <w:b/>
          <w:sz w:val="24"/>
        </w:rPr>
        <w:t>3、供货服务要求</w:t>
      </w:r>
    </w:p>
    <w:p>
      <w:pPr>
        <w:pStyle w:val="4"/>
        <w:ind w:firstLine="317"/>
      </w:pPr>
      <w:r>
        <w:rPr>
          <w:rFonts w:ascii="宋体" w:hAnsi="宋体" w:eastAsia="宋体" w:cs="宋体"/>
          <w:sz w:val="24"/>
        </w:rPr>
        <w:t>3.1人员要求</w:t>
      </w:r>
    </w:p>
    <w:p>
      <w:pPr>
        <w:pStyle w:val="4"/>
        <w:ind w:firstLine="317"/>
      </w:pPr>
      <w:r>
        <w:rPr>
          <w:rFonts w:ascii="宋体" w:hAnsi="宋体" w:eastAsia="宋体" w:cs="宋体"/>
          <w:sz w:val="24"/>
        </w:rPr>
        <w:t>3.1.1中标人需指派1名项目负责人与采购人对接，负责接收采购人订单、解答采购人问题、落实采购人要求、受理采购人投诉等。</w:t>
      </w:r>
    </w:p>
    <w:p>
      <w:pPr>
        <w:pStyle w:val="4"/>
        <w:ind w:firstLine="317"/>
      </w:pPr>
      <w:r>
        <w:rPr>
          <w:rFonts w:ascii="宋体" w:hAnsi="宋体" w:eastAsia="宋体" w:cs="宋体"/>
          <w:sz w:val="24"/>
        </w:rPr>
        <w:t>3.1.2中标人应安排固定的配送人员提供配送服务，未经采购人允许，不得随意更换。</w:t>
      </w:r>
    </w:p>
    <w:p>
      <w:pPr>
        <w:pStyle w:val="4"/>
        <w:ind w:firstLine="317"/>
      </w:pPr>
      <w:r>
        <w:rPr>
          <w:rFonts w:ascii="宋体" w:hAnsi="宋体" w:eastAsia="宋体" w:cs="宋体"/>
          <w:sz w:val="24"/>
        </w:rPr>
        <w:t>3.1.3中标人的服务人员应遵守采购人的管理秩序，服从采购人的安排，送货时不得影响采购单位的正常秩序。</w:t>
      </w:r>
    </w:p>
    <w:p>
      <w:pPr>
        <w:pStyle w:val="4"/>
        <w:ind w:firstLine="317"/>
      </w:pPr>
      <w:r>
        <w:rPr>
          <w:rFonts w:ascii="宋体" w:hAnsi="宋体" w:eastAsia="宋体" w:cs="宋体"/>
          <w:sz w:val="24"/>
        </w:rPr>
        <w:t>3.2下单方式</w:t>
      </w:r>
    </w:p>
    <w:p>
      <w:pPr>
        <w:pStyle w:val="4"/>
        <w:ind w:firstLine="317"/>
      </w:pPr>
      <w:r>
        <w:rPr>
          <w:rFonts w:ascii="宋体" w:hAnsi="宋体" w:eastAsia="宋体" w:cs="宋体"/>
          <w:sz w:val="24"/>
        </w:rPr>
        <w:t>3.2.1中标人应提供多种下单方式，采购人可以通过电话、微信、电子邮件、传真等多种形式进行下单。</w:t>
      </w:r>
    </w:p>
    <w:p>
      <w:pPr>
        <w:pStyle w:val="4"/>
        <w:ind w:firstLine="317"/>
      </w:pPr>
      <w:r>
        <w:rPr>
          <w:rFonts w:ascii="宋体" w:hAnsi="宋体" w:eastAsia="宋体" w:cs="宋体"/>
          <w:sz w:val="24"/>
        </w:rPr>
        <w:t>3.2.2中标人应提供全年无休、每天24小时接受订单的服务。</w:t>
      </w:r>
    </w:p>
    <w:p>
      <w:pPr>
        <w:pStyle w:val="4"/>
        <w:ind w:firstLine="317"/>
      </w:pPr>
      <w:r>
        <w:rPr>
          <w:rFonts w:ascii="宋体" w:hAnsi="宋体" w:eastAsia="宋体" w:cs="宋体"/>
          <w:sz w:val="24"/>
        </w:rPr>
        <w:t>3.3配送时间要求</w:t>
      </w:r>
    </w:p>
    <w:p>
      <w:pPr>
        <w:pStyle w:val="4"/>
        <w:ind w:firstLine="317"/>
      </w:pPr>
      <w:r>
        <w:rPr>
          <w:rFonts w:ascii="宋体" w:hAnsi="宋体" w:eastAsia="宋体" w:cs="宋体"/>
          <w:sz w:val="24"/>
        </w:rPr>
        <w:t>3.3.1采购人下单后，中标人需在收到采购人订单后的2小时内将产品送达至指定地点。</w:t>
      </w:r>
    </w:p>
    <w:p>
      <w:pPr>
        <w:pStyle w:val="4"/>
        <w:ind w:firstLine="317"/>
      </w:pPr>
      <w:r>
        <w:rPr>
          <w:rFonts w:ascii="宋体" w:hAnsi="宋体" w:eastAsia="宋体" w:cs="宋体"/>
          <w:sz w:val="24"/>
        </w:rPr>
        <w:t>3.3.2如采购人有紧急需求的，将在订单中明确紧急配送时间，中标人应按采购人要求及时送达。</w:t>
      </w:r>
    </w:p>
    <w:p>
      <w:pPr>
        <w:pStyle w:val="4"/>
        <w:ind w:firstLine="317"/>
      </w:pPr>
      <w:r>
        <w:rPr>
          <w:rFonts w:ascii="宋体" w:hAnsi="宋体" w:eastAsia="宋体" w:cs="宋体"/>
          <w:sz w:val="24"/>
        </w:rPr>
        <w:t>3.3.3中标人不得因金额小、数量少而拒绝送货。</w:t>
      </w:r>
    </w:p>
    <w:p>
      <w:pPr>
        <w:pStyle w:val="4"/>
        <w:ind w:firstLine="317"/>
      </w:pPr>
      <w:r>
        <w:rPr>
          <w:rFonts w:ascii="宋体" w:hAnsi="宋体" w:eastAsia="宋体" w:cs="宋体"/>
          <w:sz w:val="24"/>
        </w:rPr>
        <w:t>3.3.4中标人应建立产品库存，储备一部分库存产品，防止产品断货无法及时供应。</w:t>
      </w:r>
    </w:p>
    <w:p>
      <w:pPr>
        <w:pStyle w:val="4"/>
        <w:ind w:firstLine="317"/>
      </w:pPr>
      <w:r>
        <w:rPr>
          <w:rFonts w:ascii="宋体" w:hAnsi="宋体" w:eastAsia="宋体" w:cs="宋体"/>
          <w:sz w:val="24"/>
        </w:rPr>
        <w:t>3.4配送车辆要求</w:t>
      </w:r>
    </w:p>
    <w:p>
      <w:pPr>
        <w:pStyle w:val="4"/>
        <w:ind w:firstLine="317"/>
      </w:pPr>
      <w:r>
        <w:rPr>
          <w:rFonts w:ascii="宋体" w:hAnsi="宋体" w:eastAsia="宋体" w:cs="宋体"/>
          <w:sz w:val="24"/>
        </w:rPr>
        <w:t>3.4.1中标人应配备专门的运输配送车辆。</w:t>
      </w:r>
    </w:p>
    <w:p>
      <w:pPr>
        <w:pStyle w:val="4"/>
        <w:ind w:firstLine="317"/>
      </w:pPr>
      <w:r>
        <w:rPr>
          <w:rFonts w:ascii="宋体" w:hAnsi="宋体" w:eastAsia="宋体" w:cs="宋体"/>
          <w:sz w:val="24"/>
        </w:rPr>
        <w:t>3.4.2车辆进出采购单位时，应遵守采购单位的管理秩序，不得随意停车、占道，不得超速、危险驾驶。</w:t>
      </w:r>
    </w:p>
    <w:p>
      <w:pPr>
        <w:pStyle w:val="4"/>
        <w:ind w:firstLine="317"/>
      </w:pPr>
      <w:r>
        <w:rPr>
          <w:rFonts w:ascii="宋体" w:hAnsi="宋体" w:eastAsia="宋体" w:cs="宋体"/>
          <w:sz w:val="24"/>
        </w:rPr>
        <w:t>3.5装卸、搬运要求</w:t>
      </w:r>
    </w:p>
    <w:p>
      <w:pPr>
        <w:pStyle w:val="4"/>
        <w:ind w:firstLine="317"/>
      </w:pPr>
      <w:r>
        <w:rPr>
          <w:rFonts w:ascii="宋体" w:hAnsi="宋体" w:eastAsia="宋体" w:cs="宋体"/>
          <w:sz w:val="24"/>
        </w:rPr>
        <w:t>3.5.1货物的装卸费用由中标人承担。</w:t>
      </w:r>
    </w:p>
    <w:p>
      <w:pPr>
        <w:pStyle w:val="4"/>
        <w:ind w:firstLine="317"/>
      </w:pPr>
      <w:r>
        <w:rPr>
          <w:rFonts w:ascii="宋体" w:hAnsi="宋体" w:eastAsia="宋体" w:cs="宋体"/>
          <w:sz w:val="24"/>
        </w:rPr>
        <w:t>3.5.2中标人应按采购人要求将货物搬运到指定地点，搬运费用由中标人承担。</w:t>
      </w:r>
    </w:p>
    <w:p>
      <w:pPr>
        <w:pStyle w:val="4"/>
        <w:ind w:firstLine="317"/>
      </w:pPr>
      <w:r>
        <w:rPr>
          <w:rFonts w:ascii="宋体" w:hAnsi="宋体" w:eastAsia="宋体" w:cs="宋体"/>
          <w:sz w:val="24"/>
        </w:rPr>
        <w:t>4、技术响应要求</w:t>
      </w:r>
    </w:p>
    <w:p>
      <w:pPr>
        <w:pStyle w:val="4"/>
        <w:ind w:firstLine="317"/>
      </w:pPr>
      <w:r>
        <w:rPr>
          <w:rFonts w:ascii="宋体" w:hAnsi="宋体" w:eastAsia="宋体" w:cs="宋体"/>
          <w:sz w:val="24"/>
        </w:rPr>
        <w:t>4.1本章的要求为基本要求，评分条款若有对优于本章要求进行加分的，投标人符合要求并提供相应证明材料的可获加分，具体详见评分条款。</w:t>
      </w:r>
    </w:p>
    <w:p>
      <w:pPr>
        <w:pStyle w:val="4"/>
        <w:ind w:firstLine="317"/>
      </w:pPr>
      <w:r>
        <w:rPr>
          <w:rFonts w:ascii="宋体" w:hAnsi="宋体" w:eastAsia="宋体" w:cs="宋体"/>
          <w:sz w:val="24"/>
        </w:rPr>
        <w:t>4.</w:t>
      </w:r>
      <w:r>
        <w:rPr>
          <w:rFonts w:hint="eastAsia" w:ascii="宋体" w:hAnsi="宋体" w:eastAsia="宋体" w:cs="宋体"/>
          <w:sz w:val="24"/>
          <w:lang w:val="en-US" w:eastAsia="zh-CN"/>
        </w:rPr>
        <w:t>2</w:t>
      </w:r>
      <w:r>
        <w:rPr>
          <w:rFonts w:ascii="宋体" w:hAnsi="宋体" w:eastAsia="宋体" w:cs="宋体"/>
          <w:sz w:val="24"/>
        </w:rPr>
        <w:t>投标人应根据技术项评分条款的要求提供相应的方案，如供货方案等。</w:t>
      </w:r>
    </w:p>
    <w:p>
      <w:pPr>
        <w:pStyle w:val="4"/>
        <w:ind w:firstLine="317"/>
      </w:pPr>
      <w:r>
        <w:rPr>
          <w:rFonts w:ascii="宋体" w:hAnsi="宋体" w:eastAsia="宋体" w:cs="宋体"/>
          <w:sz w:val="24"/>
        </w:rPr>
        <w:t>4.</w:t>
      </w:r>
      <w:r>
        <w:rPr>
          <w:rFonts w:hint="eastAsia" w:ascii="宋体" w:hAnsi="宋体" w:eastAsia="宋体" w:cs="宋体"/>
          <w:sz w:val="24"/>
          <w:lang w:val="en-US" w:eastAsia="zh-CN"/>
        </w:rPr>
        <w:t>3</w:t>
      </w:r>
      <w:r>
        <w:rPr>
          <w:rFonts w:ascii="宋体" w:hAnsi="宋体" w:eastAsia="宋体" w:cs="宋体"/>
          <w:sz w:val="24"/>
        </w:rPr>
        <w:t>投标人应根据技术要求和评分条款的要求明确中标后投入本项目的管理人员、服务人员等信息，并提供相应的佐证材料，未按要求提供的将可能导致不得分。</w:t>
      </w:r>
    </w:p>
    <w:p>
      <w:pPr>
        <w:pStyle w:val="4"/>
        <w:ind w:firstLine="317"/>
      </w:pPr>
      <w:r>
        <w:rPr>
          <w:rFonts w:ascii="宋体" w:hAnsi="宋体" w:eastAsia="宋体" w:cs="宋体"/>
          <w:sz w:val="24"/>
        </w:rPr>
        <w:t>4.</w:t>
      </w:r>
      <w:r>
        <w:rPr>
          <w:rFonts w:hint="eastAsia" w:ascii="宋体" w:hAnsi="宋体" w:eastAsia="宋体" w:cs="宋体"/>
          <w:sz w:val="24"/>
          <w:lang w:val="en-US" w:eastAsia="zh-CN"/>
        </w:rPr>
        <w:t>4</w:t>
      </w:r>
      <w:r>
        <w:rPr>
          <w:rFonts w:ascii="宋体" w:hAnsi="宋体" w:eastAsia="宋体" w:cs="宋体"/>
          <w:sz w:val="24"/>
        </w:rPr>
        <w:t>评分条款中若要求提供人员社保证明的，应提供投标截止时间前六个月（不含投标截止时间的当月）中任一月份投标人为人员缴纳社保的凭据或政府部门出具的证明。投标截止时间当月成立或享受社保减免政策或因疫情影响享受缓缴或免缴社保的投标人，无法提供相关社保缴纳证明材料的，提供依法缴纳社会保障资金承诺书（格式自拟）即可。未按要求提供的不予认可。</w:t>
      </w:r>
    </w:p>
    <w:p>
      <w:pPr>
        <w:pStyle w:val="4"/>
        <w:ind w:firstLine="317"/>
      </w:pPr>
      <w:r>
        <w:rPr>
          <w:rFonts w:ascii="宋体" w:hAnsi="宋体" w:eastAsia="宋体" w:cs="宋体"/>
          <w:sz w:val="24"/>
        </w:rPr>
        <w:t>4.</w:t>
      </w:r>
      <w:r>
        <w:rPr>
          <w:rFonts w:hint="eastAsia" w:ascii="宋体" w:hAnsi="宋体" w:eastAsia="宋体" w:cs="宋体"/>
          <w:sz w:val="24"/>
          <w:lang w:val="en-US" w:eastAsia="zh-CN"/>
        </w:rPr>
        <w:t>5</w:t>
      </w:r>
      <w:r>
        <w:rPr>
          <w:rFonts w:ascii="宋体" w:hAnsi="宋体" w:eastAsia="宋体" w:cs="宋体"/>
          <w:sz w:val="24"/>
        </w:rPr>
        <w:t>投标人中标后不得将本项目转包，否则采购人有权终止合同并追究中标人的违约责任。</w:t>
      </w:r>
    </w:p>
    <w:p>
      <w:pPr>
        <w:pStyle w:val="4"/>
        <w:ind w:firstLine="317"/>
      </w:pPr>
      <w:r>
        <w:rPr>
          <w:rFonts w:ascii="宋体" w:hAnsi="宋体" w:eastAsia="宋体" w:cs="宋体"/>
          <w:sz w:val="24"/>
        </w:rPr>
        <w:t>4.</w:t>
      </w:r>
      <w:r>
        <w:rPr>
          <w:rFonts w:hint="eastAsia" w:ascii="宋体" w:hAnsi="宋体" w:eastAsia="宋体" w:cs="宋体"/>
          <w:sz w:val="24"/>
          <w:lang w:val="en-US" w:eastAsia="zh-CN"/>
        </w:rPr>
        <w:t>6</w:t>
      </w:r>
      <w:r>
        <w:rPr>
          <w:rFonts w:ascii="宋体" w:hAnsi="宋体" w:eastAsia="宋体" w:cs="宋体"/>
          <w:sz w:val="24"/>
        </w:rPr>
        <w:t>投标人提供的采购标的应符合国家知识产权法律、法规的规定且非假冒伪劣品；投标人中标后需保证采购人不受到第三方关于侵犯知识产权及专利权、商标权或工业设计权等知识产权方面的指控，若任何第三方提出此方面指控均与采购人无关，中标人应与第三方交涉，并承担可能发生的一切法律责任、费用和后果；若采购人因此而遭致损失，则中标人应赔偿该损失。</w:t>
      </w:r>
    </w:p>
    <w:p>
      <w:pPr>
        <w:pStyle w:val="4"/>
        <w:ind w:firstLine="317"/>
      </w:pPr>
      <w:r>
        <w:rPr>
          <w:rFonts w:ascii="宋体" w:hAnsi="宋体" w:eastAsia="宋体" w:cs="宋体"/>
          <w:sz w:val="24"/>
        </w:rPr>
        <w:t>4.</w:t>
      </w:r>
      <w:r>
        <w:rPr>
          <w:rFonts w:hint="eastAsia" w:ascii="宋体" w:hAnsi="宋体" w:eastAsia="宋体" w:cs="宋体"/>
          <w:sz w:val="24"/>
          <w:lang w:val="en-US" w:eastAsia="zh-CN"/>
        </w:rPr>
        <w:t>7</w:t>
      </w:r>
      <w:r>
        <w:rPr>
          <w:rFonts w:ascii="宋体" w:hAnsi="宋体" w:eastAsia="宋体" w:cs="宋体"/>
          <w:sz w:val="24"/>
        </w:rPr>
        <w:t>投标人应明确所提供的货物及服务与采购需求存在的正负偏离情况。对照招标文件要求，在《技术和服务要求响应表》中逐条说明所提供的货物及服务对采购需求的响应情况。投标人若未对采购需求进行逐条响应，将可能导致不利的评审后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UxY2Y5ZjhhZDMxZjkzZjFmMzQzN2Y0OWQyNThjZTQifQ=="/>
  </w:docVars>
  <w:rsids>
    <w:rsidRoot w:val="69D073B1"/>
    <w:rsid w:val="455A623D"/>
    <w:rsid w:val="69D073B1"/>
    <w:rsid w:val="7B5B3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2024-02-20T01:28:00Z</dcterms:created>
  <dc:creator>叶阿娜</dc:creator>
  <cp:lastModifiedBy>叶阿娜</cp:lastModifiedBy>
  <dcterms:modified xsi:type="dcterms:W3CDTF">2024-02-20T11:22:41Z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567A5BBC9B8D4ED1AEBC18AE35ADDFB5_11</vt:lpwstr>
  </property>
</Properties>
</file>