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822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厦门市第三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医院官方微信公众号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与主流媒体合作共建服务方案</w:t>
      </w:r>
    </w:p>
    <w:bookmarkEnd w:id="0"/>
    <w:p w14:paraId="0A3270CB">
      <w:pPr>
        <w:spacing w:line="580" w:lineRule="exact"/>
        <w:rPr>
          <w:rFonts w:hint="eastAsia" w:ascii="宋体" w:hAnsi="宋体" w:eastAsia="宋体" w:cs="Times New Roman"/>
          <w:color w:val="auto"/>
          <w:sz w:val="24"/>
        </w:rPr>
      </w:pPr>
    </w:p>
    <w:p w14:paraId="5E0CE6B9">
      <w:pPr>
        <w:spacing w:line="580" w:lineRule="exact"/>
        <w:ind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服务内容：</w:t>
      </w:r>
    </w:p>
    <w:p w14:paraId="4D6058B5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运营服务</w:t>
      </w:r>
    </w:p>
    <w:p w14:paraId="15631A9E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账号体系管理：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乙方合作共建运营甲方微信公众号（服务号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：厦门市第三医院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订阅号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：厦门市第三医院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订阅号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），包括公众号形象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IP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设计、更新公众号描述与简介、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菜单栏动态优化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编辑公众号图文内容、日常后台回复运营管理等。</w:t>
      </w:r>
    </w:p>
    <w:p w14:paraId="6A31000D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双号视觉系统升级：15个工作日内提交包含医院LOGO标准应用、辅助图形延展、专属插画风格的视觉方案，经甲方确认后7日内完成部署。</w:t>
      </w:r>
    </w:p>
    <w:p w14:paraId="27BF8F11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内容来源</w:t>
      </w:r>
    </w:p>
    <w:p w14:paraId="79AB7DC0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（1）原创内容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</w:p>
    <w:p w14:paraId="785989A4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甲方指定工作内容、医患故事，提供相关新闻素材，乙方安排人员现场记录、拍摄、采写成稿；或由乙方独立搜集、挖掘、加工、采写的传播性较强的内容，同视为原创。</w:t>
      </w:r>
    </w:p>
    <w:p w14:paraId="10D8E063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·乙方原创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选题需提前7日提交策划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案（含选题角度、采访提纲、视觉方案），重大医疗报道需经科室主任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分管领导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签字确认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4B278AEA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·专题系列：乙方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"/>
        </w:rPr>
        <w:t>结合医院业务实际，全年创作不少于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5个系列策划方案，如重点学科系列科普、医院新服务、新技术系列专题，每个系列不少于3条内容。</w:t>
      </w:r>
    </w:p>
    <w:p w14:paraId="6E4BF3EC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原创比例要求：服务号原创内容占比≥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0%，订阅号原创内容占比≥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0%（以篇数计算）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CDED5AE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内容管理</w:t>
      </w:r>
    </w:p>
    <w:p w14:paraId="74572CC2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·转载内容应来源于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重要资讯，如报纸、新闻网站、政府部门官网等，转载来源严格按照中共中央宣传部（国务院新闻办公室、国家新闻出版署、国家版权局、国家电影局）及中央网信办的要求从七批新闻源媒体中进行选择，杜绝来源不明稿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。转载来源需100%标注原始出处及授权编号。</w:t>
      </w:r>
    </w:p>
    <w:p w14:paraId="72279207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转载不得侵犯任何第三方的知识产权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若乙方行为侵犯第三方知识产权的，由此造成的法律责任由乙方承担；若甲方已先行支付的，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由乙方自行从合同费用中扣除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7BA8B842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3、量化指标</w:t>
      </w:r>
    </w:p>
    <w:p w14:paraId="01F8DE3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（1）内容产出要求</w:t>
      </w:r>
    </w:p>
    <w:tbl>
      <w:tblPr>
        <w:tblStyle w:val="10"/>
        <w:tblW w:w="8931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1558"/>
        <w:gridCol w:w="1616"/>
        <w:gridCol w:w="1000"/>
        <w:gridCol w:w="1407"/>
        <w:gridCol w:w="2431"/>
      </w:tblGrid>
      <w:tr w14:paraId="7E2F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tblHeader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4F8212A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平台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DE3D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推送频次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CE68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单次条数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CED4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年度总量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BF92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爆款标准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0ACC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未达标处理方式</w:t>
            </w:r>
          </w:p>
        </w:tc>
      </w:tr>
      <w:tr w14:paraId="26BF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6E9BF08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服务号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F72F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每周下半周固定推送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CA02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≥2条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(不含转发)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6292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≥104篇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652D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阅读量≥7000，每月≥1篇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79E1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爆款少于1篇，扣减0.5%合同款</w:t>
            </w:r>
          </w:p>
        </w:tc>
      </w:tr>
      <w:tr w14:paraId="0F62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AA66128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订阅号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938B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每周推送≥2次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E280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≥1条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F7B2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≥245篇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71F1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阅读量≥3000，每月≥1篇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5D34">
            <w:pPr>
              <w:keepNext w:val="0"/>
              <w:keepLines w:val="0"/>
              <w:widowControl/>
              <w:suppressLineNumbers w:val="0"/>
              <w:tabs>
                <w:tab w:val="left" w:pos="5130"/>
              </w:tabs>
              <w:spacing w:line="5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每少1篇扣减0.2%合同款</w:t>
            </w:r>
          </w:p>
        </w:tc>
      </w:tr>
    </w:tbl>
    <w:p w14:paraId="5D023B06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乙方发挥媒体优势，每月紧跟方针政策、时事热点、学科建设、重要工作、节气养生、健康科普、医院动态等关键节点，策划双号爆款内容不少于2条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43B862B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（2）媒介推送</w:t>
      </w:r>
    </w:p>
    <w:p w14:paraId="550A6B3E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合同期内，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具有宣传价值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不限次数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主流媒体（含学习强国等平台）宣传推送。</w:t>
      </w:r>
    </w:p>
    <w:p w14:paraId="596328F8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（3）用户增长指标</w:t>
      </w:r>
    </w:p>
    <w:p w14:paraId="00FAC22E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·服务号：合同期内自然增粉≥20,000（严禁任何形式买粉），月流失率≤3%。</w:t>
      </w:r>
    </w:p>
    <w:p w14:paraId="78BE9856">
      <w:pPr>
        <w:numPr>
          <w:ilvl w:val="-1"/>
          <w:numId w:val="0"/>
        </w:num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·订阅号：合同期内有效粉丝净增长≥4,000，30日留存率≥65%。</w:t>
      </w:r>
    </w:p>
    <w:p w14:paraId="1E3D6A4E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·考核机制：以自然月为周期，连续2个月未达平均进度则启动整改程序（需提交专项提升方案）。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粉丝增长未达标部分按1,000粉/月折算延期时长，最长不超过合同期的50%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556CD0CA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4、视觉创意制作要求</w:t>
      </w:r>
    </w:p>
    <w:p w14:paraId="3B451DB1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·排版规范：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排版设计应保证美观、有特色、有亮点，色系遵循并体现甲方文化特征。</w:t>
      </w:r>
    </w:p>
    <w:p w14:paraId="408CDA26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·健康科普海报：30幅/年。</w:t>
      </w:r>
    </w:p>
    <w:p w14:paraId="5056D27E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·SVG交互：5条/年，需兼容微信最新版本。</w:t>
      </w:r>
    </w:p>
    <w:p w14:paraId="63E8A6AF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·视频：5条/年。具体内容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bidi="ar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甲方重要工作、热点节日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"/>
        </w:rPr>
        <w:t>、医院动态、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健康科普等完成拍摄、制作，并在媒体平台宣发。</w:t>
      </w:r>
    </w:p>
    <w:p w14:paraId="550E0D99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5、运营保障机制</w:t>
      </w:r>
    </w:p>
    <w:p w14:paraId="193BD2ED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（1）响应时效标准</w:t>
      </w:r>
    </w:p>
    <w:p w14:paraId="36CDAA74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乙方应根据甲方的要求在规定的时间内发布作品：</w:t>
      </w:r>
    </w:p>
    <w:p w14:paraId="2FE0DE66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·常规推文制作：接单后48小时内完成，每超1小时扣减0.1%单篇费用。</w:t>
      </w:r>
    </w:p>
    <w:p w14:paraId="3BCEFD33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·紧急公告发布：接单后2小时内完成。</w:t>
      </w:r>
    </w:p>
    <w:p w14:paraId="2EC89FC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·用户消息回复：工作日不超过15分钟，纳入月度响应率考核。</w:t>
      </w:r>
    </w:p>
    <w:p w14:paraId="3C6B33A7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（2）数据报告体系</w:t>
      </w:r>
    </w:p>
    <w:p w14:paraId="0BB1B1F6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·每  月：25日前向甲方提供次月计划安排，并组织实施。</w:t>
      </w:r>
    </w:p>
    <w:p w14:paraId="3FE0FB0A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·每季度：向甲方书面反馈公众号运营情况分析报告及改进措施。</w:t>
      </w:r>
    </w:p>
    <w:p w14:paraId="2A245F27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·每年度：合同结束前30日提交全年度传播效果评估报告（需含第三方监测平台数据）</w:t>
      </w:r>
    </w:p>
    <w:p w14:paraId="20490EA8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（3）人员培训：乙方每年向甲方提供1次宣传工作培训。</w:t>
      </w:r>
    </w:p>
    <w:p w14:paraId="07A3DF0C">
      <w:pPr>
        <w:spacing w:line="58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服务要求</w:t>
      </w:r>
    </w:p>
    <w:p w14:paraId="03BFFC10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1、项目对接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安排专项人员进行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。每期微信推送由双方共同审稿，甲方拥有最终审核权；乙方实行“三审三校”，严格把关微信内容，保障发布质量。</w:t>
      </w:r>
    </w:p>
    <w:p w14:paraId="0EA49BED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2、驻场人员管理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乙方须派驻1名全媒体记者驻点服务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E019C7B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1）人员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资质要求：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2年以上新闻媒体从业经验，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提供过往作品集及单位推荐信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具备选题策划、文案撰写、图文编辑等综合能力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需通过甲方实操测试）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持有国家新闻出版署颁发的记者证或新媒体编辑职业资格证书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E97A98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驻场工作规范：每周驻点不少于5个工作日，工作时间与甲方行政班同步（8:00-12:00，14:30-17:30）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节假日期间根据甲方需求调整到岗时间，全年重大活动跟拍覆盖率需达100%  </w:t>
      </w:r>
    </w:p>
    <w:p w14:paraId="75BB352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人员调整机制：  </w:t>
      </w:r>
    </w:p>
    <w:p w14:paraId="0E1278FA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 甲方保留人员否决权：若派驻人员出现专业能力不足、工作配合度低等情况，乙方应在接到甲方书面通知后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个工作日内完成人员更换  </w:t>
      </w:r>
    </w:p>
    <w:p w14:paraId="58C15EBF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② 乙方应确保驻点人员稳定性，确需调整时应提前15个工作日提交书面申请，接替人员须具备同等或更高资质（提供从业证明及作品集备审）   </w:t>
      </w:r>
    </w:p>
    <w:p w14:paraId="5C05FEF4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3、甲方向乙方提供发布的作品、资料应不侵犯第三方的知识产权。如涉及知识产权或肖像权等民事权益，甲方应确保其自身合法拥有相关权利，与他人无涉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乙方应尽到审核义务，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若因此引起法律纠纷乃至被追究承担侵权赔偿责任，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应负全责。</w:t>
      </w:r>
    </w:p>
    <w:p w14:paraId="1EA557B1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所提供的作品内容、表现形式、推广页面等资料所包含的创意、设计、图形、图片、文字等，知识产权归甲方所有，未经甲方同意，乙方不得在履行合同之外自行使用，不得允许第三方使用。乙方应当保证所采写、投放的内容真实，立场。</w:t>
      </w:r>
    </w:p>
    <w:p w14:paraId="60872754">
      <w:pPr>
        <w:spacing w:line="580" w:lineRule="exact"/>
        <w:ind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、违约责任</w:t>
      </w:r>
    </w:p>
    <w:p w14:paraId="094B835A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乙方违约责任</w:t>
      </w:r>
    </w:p>
    <w:p w14:paraId="244E839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服务质量违约  </w:t>
      </w:r>
    </w:p>
    <w:p w14:paraId="4BD7D257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① 未完成基础运营指标（包括但不限于推文数量、推送频次、菜单更新时效）：按未完成项数量×单项目服务费的150%计扣违约金，累计扣款不超过合同总额的20%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</w:t>
      </w:r>
    </w:p>
    <w:p w14:paraId="446CE0E8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② 爆款内容达成率不足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0%：差额部分按2000元/篇标准赔偿品牌损失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p w14:paraId="4C4DD771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③ 粉丝增长未达约定值：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合同期满或延期后，仍未完成粉丝增长约定值的，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按（目标粉丝数-实际完成数）×10元/人的标准承担用户获取成本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p w14:paraId="0141C872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数据造假处理：乙方累计收到3次书面违约通知仍未整改，甲方有权单方解除合同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经第三方审计确认存在刷量行为，甲方有权立即终止合同并要求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退回已支付款项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46A12877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内容安全违约</w:t>
      </w:r>
    </w:p>
    <w:p w14:paraId="2F32B1BD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① 出现政治性表述错误、重大事实性差错：每次扣除合同总额的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%，并承担由此产生的全部法律后果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p w14:paraId="4CB30FB0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② 未经授权转载引发版权纠纷：除承担全部赔偿费用外，另按涉事内容传播量×0.5元/次支付违约金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99C1B5A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商业秘密泄露：违约方需承担不低于50万元的经济赔偿，并立即停止侵权行为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62340786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驻场服务违约  </w:t>
      </w:r>
    </w:p>
    <w:p w14:paraId="150F3840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① 驻场人员空岗超过3个工作日：按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元/日收取服务中断赔偿金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07CF2150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② 人员资质造假或未经审批更换：支付合同总额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%的惩罚性违约金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p w14:paraId="63001960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甲方违约责任  </w:t>
      </w:r>
    </w:p>
    <w:p w14:paraId="76D7B20C">
      <w:pPr>
        <w:spacing w:line="580" w:lineRule="exact"/>
        <w:ind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① 逾期支付服务款项超过15日：每日按未付金额的0.1%支付滞纳金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F3F48D2">
      <w:pPr>
        <w:spacing w:line="580" w:lineRule="exact"/>
        <w:ind w:firstLine="640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无正当理由单方面终止合作：支付乙方已产生成本+预期收益损失（按合同总额的30%计算）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</w:t>
      </w: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8E70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6660C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6660C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A0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A0BAD"/>
    <w:rsid w:val="00023D8F"/>
    <w:rsid w:val="000355DB"/>
    <w:rsid w:val="00071B5D"/>
    <w:rsid w:val="000A0BAD"/>
    <w:rsid w:val="001511DB"/>
    <w:rsid w:val="001B75AA"/>
    <w:rsid w:val="00224D48"/>
    <w:rsid w:val="00241CB0"/>
    <w:rsid w:val="002B542A"/>
    <w:rsid w:val="003155F6"/>
    <w:rsid w:val="003440DD"/>
    <w:rsid w:val="0039029F"/>
    <w:rsid w:val="003B69C1"/>
    <w:rsid w:val="003D3559"/>
    <w:rsid w:val="003E2A4E"/>
    <w:rsid w:val="004242F0"/>
    <w:rsid w:val="004A7FF5"/>
    <w:rsid w:val="004E50DC"/>
    <w:rsid w:val="005F2961"/>
    <w:rsid w:val="006B4BD6"/>
    <w:rsid w:val="006B5016"/>
    <w:rsid w:val="006F6297"/>
    <w:rsid w:val="00790349"/>
    <w:rsid w:val="007C0631"/>
    <w:rsid w:val="007E284B"/>
    <w:rsid w:val="0081043B"/>
    <w:rsid w:val="0090738A"/>
    <w:rsid w:val="00B245A2"/>
    <w:rsid w:val="00B37E30"/>
    <w:rsid w:val="00B74A6E"/>
    <w:rsid w:val="00C55648"/>
    <w:rsid w:val="00C87FD4"/>
    <w:rsid w:val="00D3246B"/>
    <w:rsid w:val="00DC59BB"/>
    <w:rsid w:val="00DC6AD1"/>
    <w:rsid w:val="00E14C69"/>
    <w:rsid w:val="00E84912"/>
    <w:rsid w:val="00EC14D5"/>
    <w:rsid w:val="00F12198"/>
    <w:rsid w:val="00FC4BB0"/>
    <w:rsid w:val="05975A71"/>
    <w:rsid w:val="0A7862C0"/>
    <w:rsid w:val="0EB977F0"/>
    <w:rsid w:val="105F1127"/>
    <w:rsid w:val="12124BB2"/>
    <w:rsid w:val="159D39C7"/>
    <w:rsid w:val="18F135D7"/>
    <w:rsid w:val="19EF624E"/>
    <w:rsid w:val="1C6F7683"/>
    <w:rsid w:val="1D51524E"/>
    <w:rsid w:val="1DDC6209"/>
    <w:rsid w:val="1E9E24BA"/>
    <w:rsid w:val="1FFA3ABC"/>
    <w:rsid w:val="20565ADC"/>
    <w:rsid w:val="217952E8"/>
    <w:rsid w:val="2265586D"/>
    <w:rsid w:val="237C2E6E"/>
    <w:rsid w:val="238824E9"/>
    <w:rsid w:val="23A44173"/>
    <w:rsid w:val="272F7AD6"/>
    <w:rsid w:val="2C790D1F"/>
    <w:rsid w:val="2D2B26FF"/>
    <w:rsid w:val="2D2D7FDC"/>
    <w:rsid w:val="2D742E08"/>
    <w:rsid w:val="2E9C43C4"/>
    <w:rsid w:val="2F48454C"/>
    <w:rsid w:val="2F601B9F"/>
    <w:rsid w:val="31045D0E"/>
    <w:rsid w:val="31FC18F7"/>
    <w:rsid w:val="3227669B"/>
    <w:rsid w:val="33177E6B"/>
    <w:rsid w:val="378D349B"/>
    <w:rsid w:val="390F1C37"/>
    <w:rsid w:val="39933DAD"/>
    <w:rsid w:val="3D046F04"/>
    <w:rsid w:val="3F051B12"/>
    <w:rsid w:val="3F667C04"/>
    <w:rsid w:val="46853538"/>
    <w:rsid w:val="487A04BF"/>
    <w:rsid w:val="49500C84"/>
    <w:rsid w:val="4A9F72BE"/>
    <w:rsid w:val="4B5802B8"/>
    <w:rsid w:val="542425E2"/>
    <w:rsid w:val="55085A60"/>
    <w:rsid w:val="560426CB"/>
    <w:rsid w:val="56BE0ACC"/>
    <w:rsid w:val="5A152BBF"/>
    <w:rsid w:val="5D37710C"/>
    <w:rsid w:val="5F0F458C"/>
    <w:rsid w:val="5F751F44"/>
    <w:rsid w:val="5FC947A9"/>
    <w:rsid w:val="60F46076"/>
    <w:rsid w:val="627806C9"/>
    <w:rsid w:val="62B114E5"/>
    <w:rsid w:val="63B02D34"/>
    <w:rsid w:val="6655266B"/>
    <w:rsid w:val="67B57CC9"/>
    <w:rsid w:val="69837A3F"/>
    <w:rsid w:val="6FDA144E"/>
    <w:rsid w:val="6FFD7C6F"/>
    <w:rsid w:val="704078DC"/>
    <w:rsid w:val="71E772C5"/>
    <w:rsid w:val="725956F5"/>
    <w:rsid w:val="7548277C"/>
    <w:rsid w:val="75B23A9A"/>
    <w:rsid w:val="76432944"/>
    <w:rsid w:val="791505C8"/>
    <w:rsid w:val="793B5FD5"/>
    <w:rsid w:val="7A5B64AE"/>
    <w:rsid w:val="7B7F0FB4"/>
    <w:rsid w:val="7CD267D0"/>
    <w:rsid w:val="B7DF1CAD"/>
    <w:rsid w:val="DBEFCBBB"/>
    <w:rsid w:val="FD6BD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Body Text Indent"/>
    <w:basedOn w:val="1"/>
    <w:link w:val="15"/>
    <w:autoRedefine/>
    <w:qFormat/>
    <w:uiPriority w:val="0"/>
    <w:pPr>
      <w:ind w:left="840" w:leftChars="400" w:firstLine="210" w:firstLineChars="100"/>
    </w:p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12">
    <w:name w:val="页脚 Char"/>
    <w:basedOn w:val="11"/>
    <w:link w:val="6"/>
    <w:autoRedefine/>
    <w:qFormat/>
    <w:uiPriority w:val="0"/>
    <w:rPr>
      <w:sz w:val="18"/>
      <w:szCs w:val="18"/>
    </w:rPr>
  </w:style>
  <w:style w:type="character" w:customStyle="1" w:styleId="13">
    <w:name w:val="页眉 Char"/>
    <w:basedOn w:val="11"/>
    <w:link w:val="7"/>
    <w:autoRedefine/>
    <w:qFormat/>
    <w:uiPriority w:val="0"/>
    <w:rPr>
      <w:sz w:val="18"/>
      <w:szCs w:val="18"/>
    </w:rPr>
  </w:style>
  <w:style w:type="character" w:customStyle="1" w:styleId="14">
    <w:name w:val="页脚 Char1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1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1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2631</Words>
  <Characters>2738</Characters>
  <Lines>16</Lines>
  <Paragraphs>4</Paragraphs>
  <TotalTime>104</TotalTime>
  <ScaleCrop>false</ScaleCrop>
  <LinksUpToDate>false</LinksUpToDate>
  <CharactersWithSpaces>2784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2023-03-31T10:36:00Z</dcterms:created>
  <dc:creator>微软用户</dc:creator>
  <cp:lastModifiedBy>叶阿娜</cp:lastModifiedBy>
  <cp:lastPrinted>2026-03-02T01:41:00Z</cp:lastPrinted>
  <dcterms:modified xsi:type="dcterms:W3CDTF">2026-03-02T08:58:30Z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E6A5649EC7AA3DB96D01E6675B695173_43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